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3879E3DE"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811941">
        <w:rPr>
          <w:rFonts w:ascii="Palatino Linotype" w:hAnsi="Palatino Linotype" w:cs="Tahoma"/>
          <w:bCs/>
          <w:sz w:val="22"/>
          <w:szCs w:val="24"/>
        </w:rPr>
        <w:t xml:space="preserve">trece de febrero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646C3FE1" w14:textId="2A613613" w:rsidR="00B31222" w:rsidRPr="00C27C34" w:rsidRDefault="00C27C34" w:rsidP="00CE069A">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5C3AF3" w:rsidRPr="00FA330C">
        <w:rPr>
          <w:rFonts w:ascii="Palatino Linotype" w:hAnsi="Palatino Linotype" w:cs="Tahoma"/>
          <w:b/>
          <w:bCs/>
          <w:color w:val="0D0D0D" w:themeColor="text1" w:themeTint="F2"/>
          <w:sz w:val="22"/>
          <w:szCs w:val="22"/>
        </w:rPr>
        <w:t>0</w:t>
      </w:r>
      <w:r w:rsidR="00811941">
        <w:rPr>
          <w:rFonts w:ascii="Palatino Linotype" w:hAnsi="Palatino Linotype" w:cs="Tahoma"/>
          <w:b/>
          <w:bCs/>
          <w:color w:val="0D0D0D" w:themeColor="text1" w:themeTint="F2"/>
          <w:sz w:val="22"/>
          <w:szCs w:val="22"/>
        </w:rPr>
        <w:t>4636</w:t>
      </w:r>
      <w:r w:rsidR="005C3AF3" w:rsidRPr="00FA330C">
        <w:rPr>
          <w:rFonts w:ascii="Palatino Linotype" w:hAnsi="Palatino Linotype" w:cs="Tahoma"/>
          <w:b/>
          <w:bCs/>
          <w:color w:val="0D0D0D" w:themeColor="text1" w:themeTint="F2"/>
          <w:sz w:val="22"/>
          <w:szCs w:val="22"/>
        </w:rPr>
        <w:t>/INFOEM/IP/RR/2018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por </w:t>
      </w:r>
      <w:r w:rsidR="00811941" w:rsidRPr="00A25BAD">
        <w:rPr>
          <w:rFonts w:ascii="Palatino Linotype" w:hAnsi="Palatino Linotype" w:cs="Tahoma"/>
          <w:bCs/>
          <w:color w:val="0D0D0D" w:themeColor="text1" w:themeTint="F2"/>
          <w:sz w:val="22"/>
          <w:szCs w:val="22"/>
        </w:rPr>
        <w:t>un Particular</w:t>
      </w:r>
      <w:r w:rsidR="00A25BAD">
        <w:rPr>
          <w:rFonts w:ascii="Palatino Linotype" w:hAnsi="Palatino Linotype" w:cs="Tahoma"/>
          <w:bCs/>
          <w:color w:val="0D0D0D" w:themeColor="text1" w:themeTint="F2"/>
          <w:sz w:val="22"/>
          <w:szCs w:val="22"/>
        </w:rPr>
        <w:t xml:space="preserve"> o Recurrente</w:t>
      </w:r>
      <w:r w:rsidR="00112085">
        <w:rPr>
          <w:rFonts w:ascii="Palatino Linotype" w:hAnsi="Palatino Linotype" w:cs="Tahoma"/>
          <w:bCs/>
          <w:color w:val="0D0D0D" w:themeColor="text1" w:themeTint="F2"/>
          <w:sz w:val="22"/>
          <w:szCs w:val="22"/>
        </w:rPr>
        <w:t>,</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w:t>
      </w:r>
      <w:r w:rsidRPr="00C27C34">
        <w:rPr>
          <w:rFonts w:ascii="Palatino Linotype" w:hAnsi="Palatino Linotype" w:cs="Tahoma"/>
          <w:bCs/>
          <w:color w:val="0D0D0D" w:themeColor="text1" w:themeTint="F2"/>
          <w:sz w:val="22"/>
          <w:szCs w:val="22"/>
        </w:rPr>
        <w:t>respuesta</w:t>
      </w:r>
      <w:r w:rsidR="00DC1594" w:rsidRPr="00C27C34">
        <w:rPr>
          <w:rFonts w:ascii="Palatino Linotype" w:hAnsi="Palatino Linotype" w:cs="Tahoma"/>
          <w:bCs/>
          <w:color w:val="0D0D0D" w:themeColor="text1" w:themeTint="F2"/>
          <w:sz w:val="22"/>
          <w:szCs w:val="22"/>
        </w:rPr>
        <w:t xml:space="preserve"> del </w:t>
      </w:r>
      <w:r w:rsidR="002A0FB8" w:rsidRPr="00FA330C">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811941">
        <w:rPr>
          <w:rFonts w:ascii="Palatino Linotype" w:hAnsi="Palatino Linotype" w:cs="Tahoma"/>
          <w:b/>
          <w:bCs/>
          <w:color w:val="0D0D0D" w:themeColor="text1" w:themeTint="F2"/>
          <w:sz w:val="22"/>
          <w:szCs w:val="22"/>
        </w:rPr>
        <w:t>Ayuntamiento de Tecámac</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33FE2118"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811941">
        <w:rPr>
          <w:rFonts w:ascii="Palatino Linotype" w:hAnsi="Palatino Linotype" w:cs="Tahoma"/>
          <w:szCs w:val="22"/>
        </w:rPr>
        <w:t>tres de diciembre</w:t>
      </w:r>
      <w:r w:rsidR="005C3AF3">
        <w:rPr>
          <w:rFonts w:ascii="Palatino Linotype" w:hAnsi="Palatino Linotype" w:cs="Tahoma"/>
          <w:szCs w:val="22"/>
        </w:rPr>
        <w:t xml:space="preserve"> de dos mil dieciocho</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811941">
        <w:rPr>
          <w:rFonts w:ascii="Palatino Linotype" w:hAnsi="Palatino Linotype" w:cs="Tahoma"/>
          <w:szCs w:val="22"/>
        </w:rPr>
        <w:t>el Ayuntamiento de Tecámac</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2BF2A586" w:rsidR="00D01F75" w:rsidRPr="00C27C34" w:rsidRDefault="00811941" w:rsidP="00CE069A">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r w:rsidRPr="00811941">
        <w:rPr>
          <w:rFonts w:ascii="Palatino Linotype" w:hAnsi="Palatino Linotype" w:cs="Tahoma"/>
          <w:bCs/>
        </w:rPr>
        <w:t>TANQUE ELEVADO PARA ALMACENAMIENTO DE AGUA PO</w:t>
      </w:r>
      <w:r>
        <w:rPr>
          <w:rFonts w:ascii="Palatino Linotype" w:hAnsi="Palatino Linotype" w:cs="Tahoma"/>
          <w:bCs/>
        </w:rPr>
        <w:t>TABLE DE COMUNIDAD POR LA OBRA ‘</w:t>
      </w:r>
      <w:r w:rsidRPr="00811941">
        <w:rPr>
          <w:rFonts w:ascii="Palatino Linotype" w:hAnsi="Palatino Linotype" w:cs="Tahoma"/>
          <w:bCs/>
        </w:rPr>
        <w:t>TANQUE ELEVADO PARA ALMACENAMIENTO DE AGUA POTABLE DE LA COMUNIDAD SAN PABLO TECALCO</w:t>
      </w:r>
      <w:r>
        <w:rPr>
          <w:rFonts w:ascii="Palatino Linotype" w:hAnsi="Palatino Linotype" w:cs="Tahoma"/>
          <w:bCs/>
        </w:rPr>
        <w:t>’</w:t>
      </w:r>
      <w:r w:rsidRPr="00811941">
        <w:rPr>
          <w:rFonts w:ascii="Palatino Linotype" w:hAnsi="Palatino Linotype" w:cs="Tahoma"/>
          <w:bCs/>
        </w:rPr>
        <w:t xml:space="preserve"> CON EL MISMO COSTO DE $ 3,995,773.00. SOLICITO LAS FAC</w:t>
      </w:r>
      <w:r>
        <w:rPr>
          <w:rFonts w:ascii="Palatino Linotype" w:hAnsi="Palatino Linotype" w:cs="Tahoma"/>
          <w:bCs/>
        </w:rPr>
        <w:t xml:space="preserve">TURAS ELECTRÓNICAS DE ESTA OBRA, </w:t>
      </w:r>
      <w:r w:rsidRPr="00811941">
        <w:rPr>
          <w:rFonts w:ascii="Palatino Linotype" w:hAnsi="Palatino Linotype" w:cs="Tahoma"/>
          <w:bCs/>
        </w:rPr>
        <w:t>ASI COMO EL EXPEDIENTE TÉCNICO DE SU REALIZACIÓN</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0730F73B" w14:textId="77777777" w:rsidR="00354E1B" w:rsidRP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lastRenderedPageBreak/>
        <w:t>II. 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75D32DEC" w14:textId="21A8BA5B" w:rsidR="00590508" w:rsidRPr="002E0F97" w:rsidRDefault="00C14C3F" w:rsidP="00811941">
      <w:pPr>
        <w:autoSpaceDE w:val="0"/>
        <w:autoSpaceDN w:val="0"/>
        <w:adjustRightInd w:val="0"/>
        <w:spacing w:line="360" w:lineRule="auto"/>
        <w:jc w:val="both"/>
        <w:rPr>
          <w:rFonts w:ascii="Palatino Linotype" w:hAnsi="Palatino Linotype" w:cs="Tahoma"/>
        </w:rPr>
      </w:pPr>
      <w:r w:rsidRPr="00C14C3F">
        <w:rPr>
          <w:rFonts w:ascii="Palatino Linotype" w:hAnsi="Palatino Linotype" w:cs="Tahoma"/>
          <w:sz w:val="22"/>
          <w:szCs w:val="22"/>
        </w:rPr>
        <w:t xml:space="preserve">Con fecha </w:t>
      </w:r>
      <w:r w:rsidR="00811941">
        <w:rPr>
          <w:rFonts w:ascii="Palatino Linotype" w:hAnsi="Palatino Linotype" w:cs="Tahoma"/>
          <w:sz w:val="22"/>
          <w:szCs w:val="22"/>
        </w:rPr>
        <w:t>cinco de diciembre</w:t>
      </w:r>
      <w:r w:rsidRPr="00C14C3F">
        <w:rPr>
          <w:rFonts w:ascii="Palatino Linotype" w:hAnsi="Palatino Linotype" w:cs="Tahoma"/>
          <w:sz w:val="22"/>
          <w:szCs w:val="22"/>
        </w:rPr>
        <w:t xml:space="preserve"> de dos mil dieciocho, </w:t>
      </w:r>
      <w:r w:rsidR="00811941">
        <w:rPr>
          <w:rFonts w:ascii="Palatino Linotype" w:hAnsi="Palatino Linotype" w:cs="Tahoma"/>
          <w:sz w:val="22"/>
          <w:szCs w:val="22"/>
        </w:rPr>
        <w:t>el</w:t>
      </w:r>
      <w:r w:rsidRPr="00C14C3F">
        <w:rPr>
          <w:rFonts w:ascii="Palatino Linotype" w:hAnsi="Palatino Linotype" w:cs="Tahoma"/>
          <w:sz w:val="22"/>
          <w:szCs w:val="22"/>
        </w:rPr>
        <w:t xml:space="preserve"> </w:t>
      </w:r>
      <w:r w:rsidR="00811941">
        <w:rPr>
          <w:rFonts w:ascii="Palatino Linotype" w:hAnsi="Palatino Linotype" w:cs="Tahoma"/>
          <w:sz w:val="22"/>
          <w:szCs w:val="22"/>
        </w:rPr>
        <w:t>Ayuntamiento de Tecámac</w:t>
      </w:r>
      <w:r w:rsidRPr="00C14C3F">
        <w:rPr>
          <w:rFonts w:ascii="Palatino Linotype" w:hAnsi="Palatino Linotype" w:cs="Tahoma"/>
          <w:sz w:val="22"/>
          <w:szCs w:val="22"/>
        </w:rPr>
        <w:t xml:space="preserve"> notificó al Particular, mediante el Sistema de Acceso a la Información Mexiquense (SAIMEX), la respuesta a la solicitud de acceso a la información, </w:t>
      </w:r>
      <w:r w:rsidR="00811941">
        <w:rPr>
          <w:rFonts w:ascii="Palatino Linotype" w:hAnsi="Palatino Linotype" w:cs="Tahoma"/>
          <w:sz w:val="22"/>
          <w:szCs w:val="22"/>
        </w:rPr>
        <w:t xml:space="preserve">en la cual precisó que la información la podía requerir </w:t>
      </w:r>
      <w:r w:rsidR="00391420">
        <w:rPr>
          <w:rFonts w:ascii="Palatino Linotype" w:hAnsi="Palatino Linotype" w:cs="Tahoma"/>
          <w:sz w:val="22"/>
          <w:szCs w:val="22"/>
        </w:rPr>
        <w:t>al O</w:t>
      </w:r>
      <w:r w:rsidR="00391420" w:rsidRPr="00391420">
        <w:rPr>
          <w:rFonts w:ascii="Palatino Linotype" w:hAnsi="Palatino Linotype" w:cs="Tahoma"/>
          <w:sz w:val="22"/>
          <w:szCs w:val="22"/>
        </w:rPr>
        <w:t>rganismo de Agua Potable y Alcantarillado del municipio de Tecámac</w:t>
      </w:r>
      <w:r w:rsidR="00391420">
        <w:rPr>
          <w:rFonts w:ascii="Palatino Linotype" w:hAnsi="Palatino Linotype" w:cs="Tahoma"/>
          <w:sz w:val="22"/>
          <w:szCs w:val="22"/>
        </w:rPr>
        <w:t>.</w:t>
      </w:r>
    </w:p>
    <w:p w14:paraId="0A644ECD" w14:textId="77777777" w:rsidR="005B1CF3" w:rsidRDefault="005B1CF3" w:rsidP="00CE069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0BC2E971"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391420">
        <w:rPr>
          <w:rFonts w:ascii="Palatino Linotype" w:hAnsi="Palatino Linotype" w:cs="Tahoma"/>
          <w:sz w:val="22"/>
          <w:szCs w:val="22"/>
        </w:rPr>
        <w:t>ocho de diciembre</w:t>
      </w:r>
      <w:r w:rsidR="00C25238" w:rsidRPr="00264982">
        <w:rPr>
          <w:rFonts w:ascii="Palatino Linotype" w:hAnsi="Palatino Linotype" w:cs="Tahoma"/>
          <w:sz w:val="22"/>
          <w:szCs w:val="22"/>
        </w:rPr>
        <w:t xml:space="preserve"> 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161D2182" w:rsidR="00CD3A5D" w:rsidRPr="00C27C34" w:rsidRDefault="00391420" w:rsidP="00CE069A">
      <w:pPr>
        <w:autoSpaceDE w:val="0"/>
        <w:autoSpaceDN w:val="0"/>
        <w:adjustRightInd w:val="0"/>
        <w:spacing w:line="360" w:lineRule="auto"/>
        <w:ind w:left="567" w:right="567"/>
        <w:jc w:val="both"/>
        <w:rPr>
          <w:rFonts w:ascii="Palatino Linotype" w:hAnsi="Palatino Linotype" w:cs="Tahoma"/>
        </w:rPr>
      </w:pPr>
      <w:r w:rsidRPr="00391420">
        <w:rPr>
          <w:rFonts w:ascii="Palatino Linotype" w:hAnsi="Palatino Linotype" w:cs="Tahoma"/>
        </w:rPr>
        <w:t xml:space="preserve">TANQUE ELEVADO PARA ALMACENAMIENTO DE AGUA POTABLE DE COMUNIDAD POR LA OBRA “TANQUE ELEVADO PARA ALMACENAMIENTO DE AGUA POTABLE DE LA COMUNIDAD SAN PABLO TECALCO” CON EL MISMO COSTO DE $ 3,995,773.00. SOLICITO LAS FACTURAS ELECTRÓNICAS DE ESTA </w:t>
      </w:r>
      <w:proofErr w:type="gramStart"/>
      <w:r w:rsidRPr="00391420">
        <w:rPr>
          <w:rFonts w:ascii="Palatino Linotype" w:hAnsi="Palatino Linotype" w:cs="Tahoma"/>
        </w:rPr>
        <w:t>OBRA ,ASÍ</w:t>
      </w:r>
      <w:proofErr w:type="gramEnd"/>
      <w:r w:rsidRPr="00391420">
        <w:rPr>
          <w:rFonts w:ascii="Palatino Linotype" w:hAnsi="Palatino Linotype" w:cs="Tahoma"/>
        </w:rPr>
        <w:t xml:space="preserve"> COMO EL EXPEDIENTE TÉCNICO DE SU REALIZACIÓN</w:t>
      </w:r>
      <w:r w:rsidR="00B727C5" w:rsidRPr="00C27C34">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71DF5778" w:rsidR="00B31222" w:rsidRPr="00C27C34" w:rsidRDefault="00391420" w:rsidP="00CE069A">
      <w:pPr>
        <w:autoSpaceDE w:val="0"/>
        <w:autoSpaceDN w:val="0"/>
        <w:adjustRightInd w:val="0"/>
        <w:spacing w:line="360" w:lineRule="auto"/>
        <w:ind w:left="567" w:right="567"/>
        <w:jc w:val="both"/>
        <w:rPr>
          <w:rFonts w:ascii="Palatino Linotype" w:hAnsi="Palatino Linotype" w:cs="Tahoma"/>
        </w:rPr>
      </w:pPr>
      <w:r w:rsidRPr="00391420">
        <w:rPr>
          <w:rFonts w:ascii="Palatino Linotype" w:hAnsi="Palatino Linotype" w:cs="Tahoma"/>
        </w:rPr>
        <w:t xml:space="preserve">5.- SOLICITUD DEL ARQ. JESÚS ADAIR CONTRERAS TENORIO, DIRECTOR DE OBRAS PÚBLICAS PARA LA MODIFICACIÓN PARCIAL DEL ACTA DE CABILDO NO 135 DE LA VIGÉSIMA NOVENA SESIÓN EXTRAORDINARIA DE FECHA 14 DE FEBRERO DEL 2018 EN LO REFERENTE A LA APLICACIÓN DEL - - - - - - - - - - - - - - - - - - - - - - - - - - - - - - - - - - - - - - - - - - - - - - - - - - - - - - - - - - - - - - - - - - - - - - - 5.- PARA EL </w:t>
      </w:r>
      <w:r w:rsidRPr="00391420">
        <w:rPr>
          <w:rFonts w:ascii="Palatino Linotype" w:hAnsi="Palatino Linotype" w:cs="Tahoma"/>
        </w:rPr>
        <w:lastRenderedPageBreak/>
        <w:t xml:space="preserve">DESAHOGO DE ESTE PUNTO SE EXPONE LO SIGUIENTE: LA MODIFICACIÓN SOLICITADA CONSISTE EN LA CANCELACIÓN DE LA OBRA “TANQUE ELEVADO PARA ALMACENAMIENTO DE AGUA POTABLE DE COMUNIDAD SANTA MARÍA AJOLOAPAN” POR LA OBRA “TANQUE ELEVADO PARA ALMACENAMIENTO DE AGUA POTABLE DE LA COMUNIDAD SAN PABLO TECALCO” CON EL MISMO COSTO DE $ 3,995,773.00. MENCIONANDO QUE EL CAMBIO DE PROYECTO ES DEBIDO, A QUE LA OBRA NO SE ENCONTRABA DENTRO DE LA ZONA DE ATENCIÓN PRIORITARIA (ZAPS) Y NO SE VALIDÓ CON EL CUESTIONARIO ÚNICO DE INFORMACIÓN SOCIOECONÓMICA (CUIS). UNA VEZ ANALIZADA Y DISCUTIDA LA SOLICITUD, EL PRESIDENTE MUNICIPAL CONSTITUCIONAL DE TECÁMAC LA SOMETE A VOTACIÓN SIENDO APROBADO POR UNANIMIDAD. - - - - - - - - - - - - - - - - - - - - En la referida </w:t>
      </w:r>
      <w:proofErr w:type="gramStart"/>
      <w:r w:rsidRPr="00391420">
        <w:rPr>
          <w:rFonts w:ascii="Palatino Linotype" w:hAnsi="Palatino Linotype" w:cs="Tahoma"/>
        </w:rPr>
        <w:t>acta ,claramente</w:t>
      </w:r>
      <w:proofErr w:type="gramEnd"/>
      <w:r w:rsidRPr="00391420">
        <w:rPr>
          <w:rFonts w:ascii="Palatino Linotype" w:hAnsi="Palatino Linotype" w:cs="Tahoma"/>
        </w:rPr>
        <w:t xml:space="preserve"> explica que es un fondo municipal. RECURSO DEL FONDO DE INFRAESTRUCTURA SOCIAL MUNICIPAL (FISM) DEL EJERCICIO FISCAL 2018. - - - por lo tanto la respuesta que </w:t>
      </w:r>
      <w:proofErr w:type="spellStart"/>
      <w:proofErr w:type="gramStart"/>
      <w:r w:rsidRPr="00391420">
        <w:rPr>
          <w:rFonts w:ascii="Palatino Linotype" w:hAnsi="Palatino Linotype" w:cs="Tahoma"/>
        </w:rPr>
        <w:t>esgrimen,no</w:t>
      </w:r>
      <w:proofErr w:type="spellEnd"/>
      <w:proofErr w:type="gramEnd"/>
      <w:r w:rsidRPr="00391420">
        <w:rPr>
          <w:rFonts w:ascii="Palatino Linotype" w:hAnsi="Palatino Linotype" w:cs="Tahoma"/>
        </w:rPr>
        <w:t xml:space="preserve"> tiene sentido ni lógica jurídica, por que dichos recursos que invirtieron en el tanque insisto son del FONDO DE INFRAESTRUCTURA SOCIAL MUNICIPAL (FISM) DEL EJERCICIO FISCAL 2018. - - - lo explica claramente en la </w:t>
      </w:r>
      <w:proofErr w:type="spellStart"/>
      <w:r w:rsidRPr="00391420">
        <w:rPr>
          <w:rFonts w:ascii="Palatino Linotype" w:hAnsi="Palatino Linotype" w:cs="Tahoma"/>
        </w:rPr>
        <w:t>pagina</w:t>
      </w:r>
      <w:proofErr w:type="spellEnd"/>
      <w:r w:rsidRPr="00391420">
        <w:rPr>
          <w:rFonts w:ascii="Palatino Linotype" w:hAnsi="Palatino Linotype" w:cs="Tahoma"/>
        </w:rPr>
        <w:t xml:space="preserve"> 12 de dicha gaceta. según ellos para confundir a la ciudadanía me dan la siguiente </w:t>
      </w:r>
      <w:proofErr w:type="spellStart"/>
      <w:proofErr w:type="gramStart"/>
      <w:r w:rsidRPr="00391420">
        <w:rPr>
          <w:rFonts w:ascii="Palatino Linotype" w:hAnsi="Palatino Linotype" w:cs="Tahoma"/>
        </w:rPr>
        <w:t>respuesta,que</w:t>
      </w:r>
      <w:proofErr w:type="spellEnd"/>
      <w:proofErr w:type="gramEnd"/>
      <w:r w:rsidRPr="00391420">
        <w:rPr>
          <w:rFonts w:ascii="Palatino Linotype" w:hAnsi="Palatino Linotype" w:cs="Tahoma"/>
        </w:rPr>
        <w:t xml:space="preserve"> a todas luces </w:t>
      </w:r>
      <w:proofErr w:type="spellStart"/>
      <w:r w:rsidRPr="00391420">
        <w:rPr>
          <w:rFonts w:ascii="Palatino Linotype" w:hAnsi="Palatino Linotype" w:cs="Tahoma"/>
        </w:rPr>
        <w:t>no,es</w:t>
      </w:r>
      <w:proofErr w:type="spellEnd"/>
      <w:r w:rsidRPr="00391420">
        <w:rPr>
          <w:rFonts w:ascii="Palatino Linotype" w:hAnsi="Palatino Linotype" w:cs="Tahoma"/>
        </w:rPr>
        <w:t xml:space="preserve"> creíble por lo antes expuesto y las pruebas que se anexan.. Y RESPUESTA DE SUJETO OBLIGADO {Estimado solicitante, esa información la puede requerir en el Organismo de Agua Potable y Alcantarillado del municipio de Tecámac ODAPAS en la siguiente dirección http://www.odapastecamac.gob.mx es su sección de transparencia.)</w:t>
      </w:r>
      <w:r w:rsidR="00397099">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7ECEB341" w14:textId="77777777" w:rsidR="00354E1B" w:rsidRPr="0033043F" w:rsidRDefault="00354E1B" w:rsidP="00CE069A">
      <w:pPr>
        <w:spacing w:line="360" w:lineRule="auto"/>
        <w:jc w:val="both"/>
        <w:rPr>
          <w:rFonts w:ascii="Palatino Linotype" w:hAnsi="Palatino Linotype" w:cs="Tahoma"/>
          <w:sz w:val="22"/>
          <w:szCs w:val="22"/>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6E038BD8"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391420">
        <w:rPr>
          <w:rFonts w:ascii="Palatino Linotype" w:eastAsia="Batang" w:hAnsi="Palatino Linotype" w:cs="Tahoma"/>
          <w:bCs/>
          <w:sz w:val="22"/>
          <w:szCs w:val="22"/>
        </w:rPr>
        <w:t>ocho de diciembre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C3AF3">
        <w:rPr>
          <w:rFonts w:ascii="Palatino Linotype" w:eastAsia="Batang" w:hAnsi="Palatino Linotype" w:cs="Tahoma"/>
          <w:b/>
          <w:bCs/>
          <w:sz w:val="22"/>
          <w:szCs w:val="22"/>
        </w:rPr>
        <w:lastRenderedPageBreak/>
        <w:t>0</w:t>
      </w:r>
      <w:r w:rsidR="00811941">
        <w:rPr>
          <w:rFonts w:ascii="Palatino Linotype" w:eastAsia="Batang" w:hAnsi="Palatino Linotype" w:cs="Tahoma"/>
          <w:b/>
          <w:bCs/>
          <w:sz w:val="22"/>
          <w:szCs w:val="22"/>
        </w:rPr>
        <w:t>4636</w:t>
      </w:r>
      <w:r w:rsidR="005C3AF3">
        <w:rPr>
          <w:rFonts w:ascii="Palatino Linotype" w:eastAsia="Batang" w:hAnsi="Palatino Linotype" w:cs="Tahoma"/>
          <w:b/>
          <w:bCs/>
          <w:sz w:val="22"/>
          <w:szCs w:val="22"/>
        </w:rPr>
        <w:t>/INFOEM/IP/RR/2018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7E34BDAD"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391420">
        <w:rPr>
          <w:rFonts w:ascii="Palatino Linotype" w:eastAsia="Batang" w:hAnsi="Palatino Linotype" w:cs="Tahoma"/>
          <w:bCs/>
          <w:sz w:val="22"/>
          <w:szCs w:val="22"/>
          <w:lang w:val="es-ES_tradnl"/>
        </w:rPr>
        <w:t>catorce de diciembre</w:t>
      </w:r>
      <w:r w:rsidR="00986A7D" w:rsidRPr="00264982">
        <w:rPr>
          <w:rFonts w:ascii="Palatino Linotype" w:eastAsia="Batang" w:hAnsi="Palatino Linotype" w:cs="Tahoma"/>
          <w:bCs/>
          <w:sz w:val="22"/>
          <w:szCs w:val="22"/>
          <w:lang w:val="es-ES_tradnl"/>
        </w:rPr>
        <w:t xml:space="preserve"> de dos mil dieciocho,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8C22EC">
        <w:rPr>
          <w:rFonts w:ascii="Palatino Linotype" w:eastAsia="Batang" w:hAnsi="Palatino Linotype" w:cs="Tahoma"/>
          <w:bCs/>
          <w:sz w:val="22"/>
          <w:szCs w:val="22"/>
        </w:rPr>
        <w:t xml:space="preserve"> </w:t>
      </w:r>
      <w:r w:rsidR="00BF0F8A" w:rsidRPr="00264982">
        <w:rPr>
          <w:rFonts w:ascii="Palatino Linotype" w:eastAsia="Batang" w:hAnsi="Palatino Linotype" w:cs="Tahoma"/>
          <w:bCs/>
          <w:sz w:val="22"/>
          <w:szCs w:val="22"/>
        </w:rPr>
        <w:t>l</w:t>
      </w:r>
      <w:r w:rsidR="008C22EC">
        <w:rPr>
          <w:rFonts w:ascii="Palatino Linotype" w:eastAsia="Batang" w:hAnsi="Palatino Linotype" w:cs="Tahoma"/>
          <w:bCs/>
          <w:sz w:val="22"/>
          <w:szCs w:val="22"/>
        </w:rPr>
        <w:t>a</w:t>
      </w:r>
      <w:r w:rsidR="00986A7D" w:rsidRPr="00264982">
        <w:rPr>
          <w:rFonts w:ascii="Palatino Linotype" w:eastAsia="Batang" w:hAnsi="Palatino Linotype" w:cs="Tahoma"/>
          <w:bCs/>
          <w:sz w:val="22"/>
          <w:szCs w:val="22"/>
        </w:rPr>
        <w:t xml:space="preserve"> </w:t>
      </w:r>
      <w:r w:rsidR="00811941">
        <w:rPr>
          <w:rFonts w:ascii="Palatino Linotype" w:eastAsia="Batang" w:hAnsi="Palatino Linotype" w:cs="Tahoma"/>
          <w:bCs/>
          <w:sz w:val="22"/>
          <w:szCs w:val="22"/>
        </w:rPr>
        <w:t>Ayuntamiento de Tecámac</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48EDECCB" w14:textId="1D161866" w:rsidR="00590508" w:rsidRPr="00590508" w:rsidRDefault="004406CF" w:rsidP="00391420">
      <w:pPr>
        <w:spacing w:line="360" w:lineRule="auto"/>
        <w:jc w:val="both"/>
        <w:rPr>
          <w:rFonts w:ascii="Palatino Linotype" w:hAnsi="Palatino Linotype" w:cs="Tahoma"/>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C1200C" w:rsidRPr="00124019">
        <w:rPr>
          <w:rFonts w:ascii="Palatino Linotype" w:hAnsi="Palatino Linotype" w:cs="Tahoma"/>
          <w:sz w:val="22"/>
          <w:szCs w:val="22"/>
        </w:rPr>
        <w:t xml:space="preserve">El </w:t>
      </w:r>
      <w:r w:rsidR="00391420">
        <w:rPr>
          <w:rFonts w:ascii="Palatino Linotype" w:hAnsi="Palatino Linotype" w:cs="Tahoma"/>
          <w:sz w:val="22"/>
          <w:szCs w:val="22"/>
        </w:rPr>
        <w:t>catorce</w:t>
      </w:r>
      <w:r w:rsidR="0033043F">
        <w:rPr>
          <w:rFonts w:ascii="Palatino Linotype" w:hAnsi="Palatino Linotype" w:cs="Tahoma"/>
          <w:sz w:val="22"/>
          <w:szCs w:val="22"/>
        </w:rPr>
        <w:t xml:space="preserve"> de diciembre</w:t>
      </w:r>
      <w:r w:rsidR="00C1200C" w:rsidRPr="00124019">
        <w:rPr>
          <w:rFonts w:ascii="Palatino Linotype" w:hAnsi="Palatino Linotype" w:cs="Tahoma"/>
          <w:sz w:val="22"/>
          <w:szCs w:val="22"/>
        </w:rPr>
        <w:t xml:space="preserve"> de dos mil dieciocho, se</w:t>
      </w:r>
      <w:r w:rsidR="00C1200C" w:rsidRPr="00124019">
        <w:rPr>
          <w:rFonts w:ascii="Palatino Linotype" w:hAnsi="Palatino Linotype" w:cs="Tahoma"/>
          <w:sz w:val="22"/>
          <w:szCs w:val="22"/>
          <w:lang w:val="es-ES_tradnl"/>
        </w:rPr>
        <w:t xml:space="preserve"> recibió, a través del </w:t>
      </w:r>
      <w:r w:rsidR="00C1200C" w:rsidRPr="00124019">
        <w:rPr>
          <w:rFonts w:ascii="Palatino Linotype" w:hAnsi="Palatino Linotype" w:cs="Tahoma"/>
          <w:sz w:val="22"/>
          <w:szCs w:val="22"/>
        </w:rPr>
        <w:t xml:space="preserve">Sistema de Acceso a la Información Mexiquense </w:t>
      </w:r>
      <w:r w:rsidR="00C1200C" w:rsidRPr="00124019">
        <w:rPr>
          <w:rFonts w:ascii="Palatino Linotype" w:hAnsi="Palatino Linotype" w:cs="Tahoma"/>
          <w:bCs/>
          <w:sz w:val="22"/>
          <w:szCs w:val="22"/>
        </w:rPr>
        <w:t>(SAIMEX)</w:t>
      </w:r>
      <w:r w:rsidR="00C1200C" w:rsidRPr="00124019">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el Informe Justificado</w:t>
      </w:r>
      <w:r w:rsidR="00590508">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emitido</w:t>
      </w:r>
      <w:r w:rsidR="00590508">
        <w:rPr>
          <w:rFonts w:ascii="Palatino Linotype" w:hAnsi="Palatino Linotype" w:cs="Tahoma"/>
          <w:sz w:val="22"/>
          <w:szCs w:val="22"/>
          <w:lang w:val="es-ES_tradnl"/>
        </w:rPr>
        <w:t xml:space="preserve"> por la Unidad de Tr</w:t>
      </w:r>
      <w:r w:rsidR="00391420">
        <w:rPr>
          <w:rFonts w:ascii="Palatino Linotype" w:hAnsi="Palatino Linotype" w:cs="Tahoma"/>
          <w:sz w:val="22"/>
          <w:szCs w:val="22"/>
          <w:lang w:val="es-ES_tradnl"/>
        </w:rPr>
        <w:t>ansparencia del Sujeto Obligado, en el cual precisó que se encontraba en espera de la respuesta de la Dirección de Obras Públicas.</w:t>
      </w:r>
    </w:p>
    <w:p w14:paraId="25C7286B" w14:textId="77777777" w:rsidR="00C1200C" w:rsidRDefault="00C1200C" w:rsidP="00CE069A">
      <w:pPr>
        <w:spacing w:line="360" w:lineRule="auto"/>
        <w:jc w:val="both"/>
        <w:rPr>
          <w:rFonts w:ascii="Palatino Linotype" w:hAnsi="Palatino Linotype" w:cs="Tahoma"/>
          <w:sz w:val="22"/>
          <w:szCs w:val="22"/>
          <w:lang w:val="es-ES_tradnl"/>
        </w:rPr>
      </w:pPr>
    </w:p>
    <w:p w14:paraId="6B9E615E" w14:textId="49938D5F" w:rsidR="00391420" w:rsidRDefault="00946AFE"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d</w:t>
      </w:r>
      <w:r w:rsidR="00C1200C">
        <w:rPr>
          <w:rFonts w:ascii="Palatino Linotype" w:hAnsi="Palatino Linotype" w:cs="Tahoma"/>
          <w:b/>
          <w:sz w:val="22"/>
          <w:szCs w:val="22"/>
        </w:rPr>
        <w:t xml:space="preserve">) </w:t>
      </w:r>
      <w:r w:rsidR="00391420">
        <w:rPr>
          <w:rFonts w:ascii="Palatino Linotype" w:hAnsi="Palatino Linotype" w:cs="Tahoma"/>
          <w:b/>
          <w:sz w:val="22"/>
          <w:szCs w:val="22"/>
        </w:rPr>
        <w:t xml:space="preserve">Manifestaciones del Particular: </w:t>
      </w:r>
      <w:r w:rsidR="00391420">
        <w:rPr>
          <w:rFonts w:ascii="Palatino Linotype" w:hAnsi="Palatino Linotype" w:cs="Tahoma"/>
          <w:sz w:val="22"/>
          <w:szCs w:val="22"/>
        </w:rPr>
        <w:t>El diecisiete de diciembre de dos mil dieciocho, a través del Sistema de Acceso a la Información Mexiquense (SAIMEX), el Particular presentó un escrito libre emitido por el Particular, el cual señala lo siguiente:</w:t>
      </w:r>
    </w:p>
    <w:p w14:paraId="4283342B" w14:textId="77777777" w:rsidR="00391420" w:rsidRDefault="00391420" w:rsidP="00CE069A">
      <w:pPr>
        <w:tabs>
          <w:tab w:val="left" w:pos="567"/>
        </w:tabs>
        <w:spacing w:line="360" w:lineRule="auto"/>
        <w:jc w:val="both"/>
        <w:rPr>
          <w:rFonts w:ascii="Palatino Linotype" w:hAnsi="Palatino Linotype" w:cs="Tahoma"/>
          <w:sz w:val="22"/>
          <w:szCs w:val="22"/>
        </w:rPr>
      </w:pPr>
    </w:p>
    <w:p w14:paraId="08BD2769" w14:textId="0F96DA7D" w:rsidR="00391420" w:rsidRPr="00391420" w:rsidRDefault="00391420" w:rsidP="00391420">
      <w:pPr>
        <w:tabs>
          <w:tab w:val="left" w:pos="567"/>
        </w:tabs>
        <w:spacing w:line="360" w:lineRule="auto"/>
        <w:ind w:left="567" w:right="567"/>
        <w:jc w:val="both"/>
        <w:rPr>
          <w:rFonts w:ascii="Palatino Linotype" w:hAnsi="Palatino Linotype" w:cs="Tahoma"/>
        </w:rPr>
      </w:pPr>
      <w:r w:rsidRPr="00391420">
        <w:rPr>
          <w:rFonts w:ascii="Palatino Linotype" w:hAnsi="Palatino Linotype" w:cs="Tahoma"/>
        </w:rPr>
        <w:t>“</w:t>
      </w:r>
      <w:proofErr w:type="gramStart"/>
      <w:r w:rsidRPr="00391420">
        <w:rPr>
          <w:rFonts w:ascii="Palatino Linotype" w:hAnsi="Palatino Linotype" w:cs="Tahoma"/>
        </w:rPr>
        <w:t>No  contestan</w:t>
      </w:r>
      <w:proofErr w:type="gramEnd"/>
      <w:r w:rsidRPr="00391420">
        <w:rPr>
          <w:rFonts w:ascii="Palatino Linotype" w:hAnsi="Palatino Linotype" w:cs="Tahoma"/>
        </w:rPr>
        <w:t xml:space="preserve"> ,con su silencio niegan lisa y llanamente, la información pública ,método propio de un gobierno opaco . Además de no cumplir con los ejes rectores de la </w:t>
      </w:r>
      <w:r w:rsidRPr="00391420">
        <w:rPr>
          <w:rFonts w:ascii="Palatino Linotype" w:hAnsi="Palatino Linotype" w:cs="Tahoma"/>
        </w:rPr>
        <w:lastRenderedPageBreak/>
        <w:t xml:space="preserve">mencionada ley: Artículo 41 </w:t>
      </w:r>
      <w:proofErr w:type="gramStart"/>
      <w:r w:rsidRPr="00391420">
        <w:rPr>
          <w:rFonts w:ascii="Palatino Linotype" w:hAnsi="Palatino Linotype" w:cs="Tahoma"/>
        </w:rPr>
        <w:t>Bis.-</w:t>
      </w:r>
      <w:proofErr w:type="gramEnd"/>
      <w:r w:rsidRPr="00391420">
        <w:rPr>
          <w:rFonts w:ascii="Palatino Linotype" w:hAnsi="Palatino Linotype" w:cs="Tahoma"/>
        </w:rPr>
        <w:t xml:space="preserve"> El procedimiento de acceso a la información se rige por los siguientes principios: De los Principios Rectores del Instituto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I. Simplicidad y rapidez; II. Gratuidad del procedimiento; y III. Auxilio y orientación a los particulares Artículo 71.- Los particulares podrán interponer recurso de revisión cuando: I. Se les niegue la información solicitada; por lo que solicito atentamente se me otorgue la información solicitada, y se apliquen las sanciones correspondientes.” </w:t>
      </w:r>
    </w:p>
    <w:p w14:paraId="4B04B79E" w14:textId="77777777" w:rsidR="00391420" w:rsidRDefault="00391420" w:rsidP="00CE069A">
      <w:pPr>
        <w:tabs>
          <w:tab w:val="left" w:pos="567"/>
        </w:tabs>
        <w:spacing w:line="360" w:lineRule="auto"/>
        <w:jc w:val="both"/>
        <w:rPr>
          <w:rFonts w:ascii="Palatino Linotype" w:hAnsi="Palatino Linotype" w:cs="Tahoma"/>
          <w:b/>
          <w:sz w:val="22"/>
          <w:szCs w:val="22"/>
        </w:rPr>
      </w:pPr>
    </w:p>
    <w:p w14:paraId="5B0E4121" w14:textId="37CD80D0" w:rsidR="00512962" w:rsidRPr="00512962" w:rsidRDefault="00391420" w:rsidP="00CE069A">
      <w:pPr>
        <w:tabs>
          <w:tab w:val="left" w:pos="567"/>
        </w:tabs>
        <w:spacing w:line="360" w:lineRule="auto"/>
        <w:jc w:val="both"/>
        <w:rPr>
          <w:rFonts w:ascii="Palatino Linotype" w:hAnsi="Palatino Linotype" w:cs="Tahoma"/>
          <w:i/>
          <w:sz w:val="22"/>
          <w:szCs w:val="22"/>
        </w:rPr>
      </w:pPr>
      <w:r>
        <w:rPr>
          <w:rFonts w:ascii="Palatino Linotype" w:hAnsi="Palatino Linotype" w:cs="Tahoma"/>
          <w:b/>
          <w:sz w:val="22"/>
          <w:szCs w:val="22"/>
        </w:rPr>
        <w:t xml:space="preserve">e) </w:t>
      </w:r>
      <w:r w:rsidR="00512962" w:rsidRPr="00512962">
        <w:rPr>
          <w:rFonts w:ascii="Palatino Linotype" w:hAnsi="Palatino Linotype" w:cs="Tahoma"/>
          <w:b/>
          <w:sz w:val="22"/>
          <w:szCs w:val="22"/>
        </w:rPr>
        <w:t>Desistimiento del Recurso de Revisión.</w:t>
      </w:r>
      <w:r w:rsidR="00512962">
        <w:rPr>
          <w:rFonts w:ascii="Palatino Linotype" w:hAnsi="Palatino Linotype" w:cs="Tahoma"/>
          <w:sz w:val="22"/>
          <w:szCs w:val="22"/>
        </w:rPr>
        <w:t xml:space="preserve"> El </w:t>
      </w:r>
      <w:r w:rsidR="00C14D65">
        <w:rPr>
          <w:rFonts w:ascii="Palatino Linotype" w:hAnsi="Palatino Linotype" w:cs="Tahoma"/>
          <w:sz w:val="22"/>
          <w:szCs w:val="22"/>
        </w:rPr>
        <w:t>seis</w:t>
      </w:r>
      <w:r>
        <w:rPr>
          <w:rFonts w:ascii="Palatino Linotype" w:hAnsi="Palatino Linotype" w:cs="Tahoma"/>
          <w:sz w:val="22"/>
          <w:szCs w:val="22"/>
        </w:rPr>
        <w:t xml:space="preserve"> de enero de dos mil diecinueve</w:t>
      </w:r>
      <w:r w:rsidR="00512962">
        <w:rPr>
          <w:rFonts w:ascii="Palatino Linotype" w:hAnsi="Palatino Linotype" w:cs="Tahoma"/>
          <w:sz w:val="22"/>
          <w:szCs w:val="22"/>
        </w:rPr>
        <w:t>, el Solicitante, a través del Sistema de Acceso a la Información Mexiquense</w:t>
      </w:r>
      <w:r>
        <w:rPr>
          <w:rFonts w:ascii="Palatino Linotype" w:hAnsi="Palatino Linotype" w:cs="Tahoma"/>
          <w:sz w:val="22"/>
          <w:szCs w:val="22"/>
        </w:rPr>
        <w:t xml:space="preserve"> (SAIMEX)</w:t>
      </w:r>
      <w:r w:rsidR="00512962">
        <w:rPr>
          <w:rFonts w:ascii="Palatino Linotype" w:hAnsi="Palatino Linotype" w:cs="Tahoma"/>
          <w:sz w:val="22"/>
          <w:szCs w:val="22"/>
        </w:rPr>
        <w:t>, se desistió del Recurso de Información, además señaló como razón de dicha situación la siguiente: “</w:t>
      </w:r>
      <w:r w:rsidRPr="00391420">
        <w:rPr>
          <w:rFonts w:ascii="Palatino Linotype" w:hAnsi="Palatino Linotype" w:cs="Tahoma"/>
          <w:i/>
          <w:sz w:val="22"/>
          <w:szCs w:val="22"/>
        </w:rPr>
        <w:t xml:space="preserve">ya no tengo </w:t>
      </w:r>
      <w:proofErr w:type="spellStart"/>
      <w:r w:rsidRPr="00391420">
        <w:rPr>
          <w:rFonts w:ascii="Palatino Linotype" w:hAnsi="Palatino Linotype" w:cs="Tahoma"/>
          <w:i/>
          <w:sz w:val="22"/>
          <w:szCs w:val="22"/>
        </w:rPr>
        <w:t>interes</w:t>
      </w:r>
      <w:proofErr w:type="spellEnd"/>
      <w:r w:rsidRPr="00391420">
        <w:rPr>
          <w:rFonts w:ascii="Palatino Linotype" w:hAnsi="Palatino Linotype" w:cs="Tahoma"/>
          <w:i/>
          <w:sz w:val="22"/>
          <w:szCs w:val="22"/>
        </w:rPr>
        <w:t xml:space="preserve"> en el asunto</w:t>
      </w:r>
      <w:r w:rsidR="00512962" w:rsidRPr="00512962">
        <w:rPr>
          <w:rFonts w:ascii="Palatino Linotype" w:hAnsi="Palatino Linotype" w:cs="Tahoma"/>
          <w:i/>
          <w:sz w:val="22"/>
          <w:szCs w:val="22"/>
        </w:rPr>
        <w:t>”</w:t>
      </w:r>
      <w:r w:rsidRPr="00391420">
        <w:rPr>
          <w:rFonts w:ascii="Palatino Linotype" w:hAnsi="Palatino Linotype" w:cs="Tahoma"/>
          <w:sz w:val="22"/>
          <w:szCs w:val="22"/>
        </w:rPr>
        <w:t>.</w:t>
      </w:r>
      <w:r w:rsidR="00AE434A">
        <w:rPr>
          <w:rFonts w:ascii="Palatino Linotype" w:hAnsi="Palatino Linotype" w:cs="Tahoma"/>
          <w:sz w:val="22"/>
          <w:szCs w:val="22"/>
        </w:rPr>
        <w:t xml:space="preserve"> </w:t>
      </w:r>
      <w:r w:rsidR="00AE434A">
        <w:rPr>
          <w:rFonts w:ascii="Palatino Linotype" w:hAnsi="Palatino Linotype" w:cs="Tahoma"/>
        </w:rPr>
        <w:t>(</w:t>
      </w:r>
      <w:r w:rsidR="00AE434A">
        <w:rPr>
          <w:rFonts w:ascii="Palatino Linotype" w:hAnsi="Palatino Linotype" w:cs="Tahoma"/>
          <w:i/>
        </w:rPr>
        <w:t>Sic.</w:t>
      </w:r>
      <w:r w:rsidR="00AE434A">
        <w:rPr>
          <w:rFonts w:ascii="Palatino Linotype" w:hAnsi="Palatino Linotype" w:cs="Tahoma"/>
        </w:rPr>
        <w:t>)</w:t>
      </w:r>
    </w:p>
    <w:p w14:paraId="1BFE3022" w14:textId="77777777" w:rsidR="00512962" w:rsidRDefault="00512962" w:rsidP="00CE069A">
      <w:pPr>
        <w:tabs>
          <w:tab w:val="left" w:pos="567"/>
        </w:tabs>
        <w:spacing w:line="360" w:lineRule="auto"/>
        <w:jc w:val="both"/>
        <w:rPr>
          <w:rFonts w:ascii="Palatino Linotype" w:hAnsi="Palatino Linotype" w:cs="Tahoma"/>
          <w:b/>
          <w:sz w:val="22"/>
          <w:szCs w:val="22"/>
        </w:rPr>
      </w:pPr>
    </w:p>
    <w:p w14:paraId="1AE3B652" w14:textId="44336BEF" w:rsidR="00391420" w:rsidRPr="00391420" w:rsidRDefault="00391420"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f</w:t>
      </w:r>
      <w:r w:rsidR="00512962">
        <w:rPr>
          <w:rFonts w:ascii="Palatino Linotype" w:hAnsi="Palatino Linotype" w:cs="Tahoma"/>
          <w:b/>
          <w:sz w:val="22"/>
          <w:szCs w:val="22"/>
        </w:rPr>
        <w:t xml:space="preserve">) </w:t>
      </w:r>
      <w:r>
        <w:rPr>
          <w:rFonts w:ascii="Palatino Linotype" w:hAnsi="Palatino Linotype" w:cs="Tahoma"/>
          <w:b/>
          <w:sz w:val="22"/>
          <w:szCs w:val="22"/>
        </w:rPr>
        <w:t xml:space="preserve">Manifestaciones del Recurrente. </w:t>
      </w:r>
      <w:r>
        <w:rPr>
          <w:rFonts w:ascii="Palatino Linotype" w:hAnsi="Palatino Linotype" w:cs="Tahoma"/>
          <w:sz w:val="22"/>
          <w:szCs w:val="22"/>
        </w:rPr>
        <w:t xml:space="preserve">El veintitrés de enero de dos mil diecinueve, el Particular, a través del Sistema de Acceso a la Información Mexiquense (SAIMEX), proporcionó un escrito </w:t>
      </w:r>
      <w:r>
        <w:rPr>
          <w:rFonts w:ascii="Palatino Linotype" w:hAnsi="Palatino Linotype" w:cs="Tahoma"/>
          <w:sz w:val="22"/>
          <w:szCs w:val="22"/>
        </w:rPr>
        <w:lastRenderedPageBreak/>
        <w:t xml:space="preserve">libre, en donde precisa </w:t>
      </w:r>
      <w:r w:rsidRPr="00391420">
        <w:rPr>
          <w:rFonts w:ascii="Palatino Linotype" w:hAnsi="Palatino Linotype" w:cs="Tahoma"/>
          <w:i/>
          <w:sz w:val="22"/>
          <w:szCs w:val="22"/>
        </w:rPr>
        <w:t xml:space="preserve">“VOLUNTARIAMENTE Y POR </w:t>
      </w:r>
      <w:proofErr w:type="spellStart"/>
      <w:r w:rsidRPr="00391420">
        <w:rPr>
          <w:rFonts w:ascii="Palatino Linotype" w:hAnsi="Palatino Linotype" w:cs="Tahoma"/>
          <w:i/>
          <w:sz w:val="22"/>
          <w:szCs w:val="22"/>
        </w:rPr>
        <w:t>DECISiÓN</w:t>
      </w:r>
      <w:proofErr w:type="spellEnd"/>
      <w:r w:rsidRPr="00391420">
        <w:rPr>
          <w:rFonts w:ascii="Palatino Linotype" w:hAnsi="Palatino Linotype" w:cs="Tahoma"/>
          <w:i/>
          <w:sz w:val="22"/>
          <w:szCs w:val="22"/>
        </w:rPr>
        <w:t xml:space="preserve"> PERSONAL ME DESISTO DE LAS SIGUIENTES SOLICITUDES.”</w:t>
      </w:r>
      <w:r w:rsidR="00AE434A">
        <w:rPr>
          <w:rFonts w:ascii="Palatino Linotype" w:hAnsi="Palatino Linotype" w:cs="Tahoma"/>
          <w:sz w:val="22"/>
          <w:szCs w:val="22"/>
        </w:rPr>
        <w:t xml:space="preserve"> </w:t>
      </w:r>
      <w:r w:rsidR="00AE434A">
        <w:rPr>
          <w:rFonts w:ascii="Palatino Linotype" w:hAnsi="Palatino Linotype" w:cs="Tahoma"/>
        </w:rPr>
        <w:t>(</w:t>
      </w:r>
      <w:r w:rsidR="00AE434A">
        <w:rPr>
          <w:rFonts w:ascii="Palatino Linotype" w:hAnsi="Palatino Linotype" w:cs="Tahoma"/>
          <w:i/>
        </w:rPr>
        <w:t>Sic.</w:t>
      </w:r>
      <w:r w:rsidR="00AE434A">
        <w:rPr>
          <w:rFonts w:ascii="Palatino Linotype" w:hAnsi="Palatino Linotype" w:cs="Tahoma"/>
        </w:rPr>
        <w:t>)</w:t>
      </w:r>
    </w:p>
    <w:p w14:paraId="2D9BA8F8" w14:textId="77777777" w:rsidR="00391420" w:rsidRDefault="00391420" w:rsidP="00CE069A">
      <w:pPr>
        <w:tabs>
          <w:tab w:val="left" w:pos="567"/>
        </w:tabs>
        <w:spacing w:line="360" w:lineRule="auto"/>
        <w:jc w:val="both"/>
        <w:rPr>
          <w:rFonts w:ascii="Palatino Linotype" w:hAnsi="Palatino Linotype" w:cs="Tahoma"/>
          <w:b/>
          <w:sz w:val="22"/>
          <w:szCs w:val="22"/>
        </w:rPr>
      </w:pPr>
    </w:p>
    <w:p w14:paraId="6733D1BB" w14:textId="51BBB9F6" w:rsidR="00C1200C" w:rsidRPr="00264982" w:rsidRDefault="00391420"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g)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sidR="00C14D65">
        <w:rPr>
          <w:rFonts w:ascii="Palatino Linotype" w:hAnsi="Palatino Linotype" w:cs="Tahoma"/>
          <w:sz w:val="22"/>
          <w:szCs w:val="22"/>
        </w:rPr>
        <w:t>primero</w:t>
      </w:r>
      <w:r>
        <w:rPr>
          <w:rFonts w:ascii="Palatino Linotype" w:hAnsi="Palatino Linotype" w:cs="Tahoma"/>
          <w:sz w:val="22"/>
          <w:szCs w:val="22"/>
        </w:rPr>
        <w:t xml:space="preserve"> de febrero</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p>
    <w:p w14:paraId="6320109C" w14:textId="77777777" w:rsidR="002B03CD" w:rsidRPr="00264982" w:rsidRDefault="002B03CD" w:rsidP="00CE069A">
      <w:pPr>
        <w:spacing w:line="360" w:lineRule="auto"/>
        <w:jc w:val="both"/>
        <w:rPr>
          <w:rFonts w:ascii="Palatino Linotype" w:hAnsi="Palatino Linotype" w:cs="Tahoma"/>
          <w:sz w:val="22"/>
          <w:szCs w:val="22"/>
        </w:rPr>
      </w:pPr>
    </w:p>
    <w:p w14:paraId="602A0D95" w14:textId="2493346D" w:rsidR="004F2D88" w:rsidRPr="00264982" w:rsidRDefault="004F2D88" w:rsidP="00CE069A">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CE069A">
      <w:pPr>
        <w:spacing w:line="360" w:lineRule="auto"/>
        <w:jc w:val="both"/>
        <w:rPr>
          <w:rFonts w:ascii="Palatino Linotype" w:hAnsi="Palatino Linotype" w:cs="Tahoma"/>
          <w:color w:val="000000"/>
          <w:sz w:val="22"/>
          <w:szCs w:val="22"/>
        </w:rPr>
      </w:pP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w:t>
      </w:r>
      <w:r w:rsidRPr="00264982">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Pr="003D5DCE"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w:t>
      </w:r>
      <w:r w:rsidRPr="003D5DCE">
        <w:rPr>
          <w:rFonts w:ascii="Palatino Linotype" w:hAnsi="Palatino Linotype" w:cs="Tahoma"/>
          <w:sz w:val="22"/>
          <w:szCs w:val="24"/>
        </w:rPr>
        <w:lastRenderedPageBreak/>
        <w:t>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5898D22E" w14:textId="399DE47B" w:rsidR="00E42193" w:rsidRPr="003D5DCE" w:rsidRDefault="00E42193" w:rsidP="00CE069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 xml:space="preserve">fracción </w:t>
      </w:r>
      <w:r w:rsidR="00391420">
        <w:rPr>
          <w:rFonts w:ascii="Palatino Linotype" w:hAnsi="Palatino Linotype" w:cs="Tahoma"/>
          <w:sz w:val="22"/>
          <w:szCs w:val="24"/>
          <w:lang w:val="es-ES"/>
        </w:rPr>
        <w:t>IV</w:t>
      </w:r>
      <w:r w:rsidRPr="003D5DCE">
        <w:rPr>
          <w:rFonts w:ascii="Palatino Linotype" w:hAnsi="Palatino Linotype" w:cs="Tahoma"/>
          <w:sz w:val="22"/>
          <w:szCs w:val="24"/>
          <w:lang w:val="es-ES"/>
        </w:rPr>
        <w:t xml:space="preserve">, de la Ley en cita, pues la parte Recurrente se inconformó </w:t>
      </w:r>
      <w:r w:rsidR="00391420">
        <w:rPr>
          <w:rFonts w:ascii="Palatino Linotype" w:hAnsi="Palatino Linotype" w:cs="Tahoma"/>
          <w:sz w:val="22"/>
          <w:szCs w:val="24"/>
          <w:lang w:val="es-ES"/>
        </w:rPr>
        <w:t xml:space="preserve">por la declaración de incompetencia </w:t>
      </w:r>
      <w:r w:rsidR="00C76F36">
        <w:rPr>
          <w:rFonts w:ascii="Palatino Linotype" w:hAnsi="Palatino Linotype" w:cs="Tahoma"/>
          <w:sz w:val="22"/>
          <w:szCs w:val="24"/>
          <w:lang w:val="es-ES"/>
        </w:rPr>
        <w:t>por el Sujeto Obligado.</w:t>
      </w:r>
    </w:p>
    <w:p w14:paraId="1FF607EE" w14:textId="73F8A183" w:rsidR="00F024EE" w:rsidRDefault="00F024EE" w:rsidP="00CE069A">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47B8E9CE" w:rsidR="00F024EE" w:rsidRPr="00264982" w:rsidRDefault="00354E1B" w:rsidP="00CE069A">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024EE"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1BDAF5FD" w14:textId="487E8161" w:rsidR="00512962" w:rsidRPr="00512962" w:rsidRDefault="005519E2" w:rsidP="00354E1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sidR="00512962">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sidR="00512962">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00512962"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5CF3A7" w14:textId="7E58484F" w:rsidR="005519E2" w:rsidRDefault="005519E2" w:rsidP="00CE069A">
      <w:pPr>
        <w:spacing w:line="360" w:lineRule="auto"/>
        <w:jc w:val="both"/>
        <w:rPr>
          <w:rFonts w:ascii="Palatino Linotype" w:eastAsia="Calibri" w:hAnsi="Palatino Linotype" w:cs="Tahoma"/>
          <w:b/>
          <w:sz w:val="22"/>
          <w:szCs w:val="22"/>
          <w:lang w:eastAsia="es-ES_tradnl"/>
        </w:rPr>
      </w:pPr>
    </w:p>
    <w:p w14:paraId="5EC2B88B" w14:textId="6F839ED4" w:rsidR="00512962" w:rsidRDefault="005519E2" w:rsidP="00CE069A">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sidR="00512962">
        <w:rPr>
          <w:rFonts w:ascii="Palatino Linotype" w:eastAsia="Calibri" w:hAnsi="Palatino Linotype" w:cs="Tahoma"/>
          <w:sz w:val="22"/>
          <w:szCs w:val="22"/>
          <w:lang w:eastAsia="es-ES_tradnl"/>
        </w:rPr>
        <w:t xml:space="preserve">por lo que hace a la hipótesis prevista en la fracción I, a saber, que el Solicitante se haya desistido del Medio de Impugnación, se colige en el Solicitante se desistió </w:t>
      </w:r>
      <w:r w:rsidR="00512962">
        <w:rPr>
          <w:rFonts w:ascii="Palatino Linotype" w:eastAsia="Calibri" w:hAnsi="Palatino Linotype" w:cs="Tahoma"/>
          <w:sz w:val="22"/>
          <w:szCs w:val="22"/>
          <w:lang w:eastAsia="es-ES_tradnl"/>
        </w:rPr>
        <w:lastRenderedPageBreak/>
        <w:t xml:space="preserve">expresamente del presente Recurso de Revisión, a través del Sistema de Acceso a la Información Mexiquense, el </w:t>
      </w:r>
      <w:r w:rsidR="00C14D65">
        <w:rPr>
          <w:rFonts w:ascii="Palatino Linotype" w:eastAsia="Calibri" w:hAnsi="Palatino Linotype" w:cs="Tahoma"/>
          <w:sz w:val="22"/>
          <w:szCs w:val="22"/>
          <w:lang w:eastAsia="es-ES_tradnl"/>
        </w:rPr>
        <w:t>seis</w:t>
      </w:r>
      <w:r w:rsidR="00512962">
        <w:rPr>
          <w:rFonts w:ascii="Palatino Linotype" w:eastAsia="Calibri" w:hAnsi="Palatino Linotype" w:cs="Tahoma"/>
          <w:sz w:val="22"/>
          <w:szCs w:val="22"/>
          <w:lang w:eastAsia="es-ES_tradnl"/>
        </w:rPr>
        <w:t xml:space="preserve"> de diciembre de dos mil dieciocho, como se observa a continuación:</w:t>
      </w:r>
    </w:p>
    <w:p w14:paraId="019FF334" w14:textId="0A6E18AD" w:rsidR="00C76F36" w:rsidRDefault="00C76F36" w:rsidP="00CE069A">
      <w:pPr>
        <w:spacing w:line="360" w:lineRule="auto"/>
        <w:jc w:val="both"/>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71552" behindDoc="0" locked="0" layoutInCell="1" allowOverlap="1" wp14:anchorId="2759DCA5" wp14:editId="19780651">
                <wp:simplePos x="0" y="0"/>
                <wp:positionH relativeFrom="margin">
                  <wp:posOffset>1270</wp:posOffset>
                </wp:positionH>
                <wp:positionV relativeFrom="paragraph">
                  <wp:posOffset>2072640</wp:posOffset>
                </wp:positionV>
                <wp:extent cx="5742940" cy="276860"/>
                <wp:effectExtent l="19050" t="19050" r="10160" b="27940"/>
                <wp:wrapNone/>
                <wp:docPr id="18" name="Rectángulo 18"/>
                <wp:cNvGraphicFramePr/>
                <a:graphic xmlns:a="http://schemas.openxmlformats.org/drawingml/2006/main">
                  <a:graphicData uri="http://schemas.microsoft.com/office/word/2010/wordprocessingShape">
                    <wps:wsp>
                      <wps:cNvSpPr/>
                      <wps:spPr>
                        <a:xfrm>
                          <a:off x="0" y="0"/>
                          <a:ext cx="5742940" cy="27686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3CB0B" id="Rectángulo 18" o:spid="_x0000_s1026" style="position:absolute;margin-left:.1pt;margin-top:163.2pt;width:452.2pt;height:2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" filled="f" strokecolor="black [3213]" strokeweight="3pt">
                <w10:wrap anchorx="margin"/>
              </v:rect>
            </w:pict>
          </mc:Fallback>
        </mc:AlternateContent>
      </w:r>
      <w:r w:rsidRPr="00C76F36">
        <w:rPr>
          <w:noProof/>
          <w:lang w:eastAsia="es-MX"/>
        </w:rPr>
        <w:t xml:space="preserve"> </w:t>
      </w:r>
      <w:r>
        <w:rPr>
          <w:noProof/>
          <w:lang w:eastAsia="es-MX"/>
        </w:rPr>
        <w:drawing>
          <wp:inline distT="0" distB="0" distL="0" distR="0" wp14:anchorId="70E3DE1F" wp14:editId="6EF4BD4B">
            <wp:extent cx="5742940" cy="21329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132965"/>
                    </a:xfrm>
                    <a:prstGeom prst="rect">
                      <a:avLst/>
                    </a:prstGeom>
                  </pic:spPr>
                </pic:pic>
              </a:graphicData>
            </a:graphic>
          </wp:inline>
        </w:drawing>
      </w:r>
    </w:p>
    <w:p w14:paraId="18B0256F" w14:textId="77777777" w:rsidR="002E40C6" w:rsidRDefault="002E40C6" w:rsidP="00CE069A">
      <w:pPr>
        <w:spacing w:line="360" w:lineRule="auto"/>
        <w:jc w:val="both"/>
        <w:rPr>
          <w:rFonts w:ascii="Palatino Linotype" w:hAnsi="Palatino Linotype" w:cs="Tahoma"/>
          <w:sz w:val="22"/>
          <w:szCs w:val="22"/>
          <w:lang w:val="es-ES"/>
        </w:rPr>
      </w:pPr>
    </w:p>
    <w:p w14:paraId="30C0A9AC" w14:textId="0644CE6F" w:rsidR="005519E2" w:rsidRDefault="008D35D5" w:rsidP="00CE06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atención a lo observado, se advierte que el Particular se desistió del Medio de Impugnación, a través del multicitado sistema, por las siguientes razones:</w:t>
      </w:r>
    </w:p>
    <w:p w14:paraId="71A62CC6" w14:textId="3BF0FD92" w:rsidR="008D35D5" w:rsidRDefault="008D35D5" w:rsidP="00CE069A">
      <w:pPr>
        <w:spacing w:line="360" w:lineRule="auto"/>
        <w:jc w:val="both"/>
        <w:rPr>
          <w:rFonts w:ascii="Palatino Linotype" w:hAnsi="Palatino Linotype" w:cs="Tahoma"/>
          <w:sz w:val="22"/>
          <w:szCs w:val="22"/>
          <w:lang w:val="es-ES"/>
        </w:rPr>
      </w:pPr>
    </w:p>
    <w:p w14:paraId="273C8D1A" w14:textId="197414E1" w:rsidR="00C76F36" w:rsidRDefault="00C76F36" w:rsidP="00CE069A">
      <w:pPr>
        <w:spacing w:line="360" w:lineRule="auto"/>
        <w:jc w:val="both"/>
        <w:rPr>
          <w:rFonts w:ascii="Palatino Linotype" w:hAnsi="Palatino Linotype" w:cs="Tahoma"/>
          <w:sz w:val="22"/>
          <w:szCs w:val="22"/>
          <w:lang w:val="es-ES"/>
        </w:rPr>
      </w:pPr>
      <w:r>
        <w:rPr>
          <w:noProof/>
          <w:lang w:eastAsia="es-MX"/>
        </w:rPr>
        <mc:AlternateContent>
          <mc:Choice Requires="wps">
            <w:drawing>
              <wp:anchor distT="0" distB="0" distL="114300" distR="114300" simplePos="0" relativeHeight="251672576" behindDoc="0" locked="0" layoutInCell="1" allowOverlap="1" wp14:anchorId="7DAC38D0" wp14:editId="7BA72C89">
                <wp:simplePos x="0" y="0"/>
                <wp:positionH relativeFrom="column">
                  <wp:posOffset>1270</wp:posOffset>
                </wp:positionH>
                <wp:positionV relativeFrom="paragraph">
                  <wp:posOffset>1954530</wp:posOffset>
                </wp:positionV>
                <wp:extent cx="1704975" cy="161925"/>
                <wp:effectExtent l="19050" t="19050" r="28575" b="28575"/>
                <wp:wrapNone/>
                <wp:docPr id="21" name="Rectángulo 21"/>
                <wp:cNvGraphicFramePr/>
                <a:graphic xmlns:a="http://schemas.openxmlformats.org/drawingml/2006/main">
                  <a:graphicData uri="http://schemas.microsoft.com/office/word/2010/wordprocessingShape">
                    <wps:wsp>
                      <wps:cNvSpPr/>
                      <wps:spPr>
                        <a:xfrm>
                          <a:off x="0" y="0"/>
                          <a:ext cx="1704975" cy="1619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C2EA6" id="Rectángulo 21" o:spid="_x0000_s1026" style="position:absolute;margin-left:.1pt;margin-top:153.9pt;width:134.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" filled="f" strokecolor="black [3213]" strokeweight="3pt"/>
            </w:pict>
          </mc:Fallback>
        </mc:AlternateContent>
      </w:r>
      <w:r>
        <w:rPr>
          <w:noProof/>
          <w:lang w:eastAsia="es-MX"/>
        </w:rPr>
        <w:drawing>
          <wp:inline distT="0" distB="0" distL="0" distR="0" wp14:anchorId="444781C9" wp14:editId="66D40003">
            <wp:extent cx="5742940" cy="26257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625725"/>
                    </a:xfrm>
                    <a:prstGeom prst="rect">
                      <a:avLst/>
                    </a:prstGeom>
                  </pic:spPr>
                </pic:pic>
              </a:graphicData>
            </a:graphic>
          </wp:inline>
        </w:drawing>
      </w:r>
    </w:p>
    <w:p w14:paraId="66C9D2D7" w14:textId="70D7F030" w:rsidR="00C76F36" w:rsidRDefault="00C76F36" w:rsidP="00CE069A">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Asimismo, </w:t>
      </w:r>
      <w:r w:rsidR="00C14D65">
        <w:rPr>
          <w:rFonts w:ascii="Palatino Linotype" w:hAnsi="Palatino Linotype" w:cs="Tahoma"/>
          <w:sz w:val="22"/>
          <w:szCs w:val="22"/>
        </w:rPr>
        <w:t xml:space="preserve">mediante escrito libre el Recurrente señaló que </w:t>
      </w:r>
    </w:p>
    <w:p w14:paraId="046A3B7A" w14:textId="7B178773" w:rsidR="00C76F36" w:rsidRDefault="00C76F36" w:rsidP="00CE069A">
      <w:pPr>
        <w:spacing w:line="360" w:lineRule="auto"/>
        <w:jc w:val="both"/>
        <w:rPr>
          <w:rFonts w:ascii="Palatino Linotype" w:hAnsi="Palatino Linotype" w:cs="Tahoma"/>
          <w:sz w:val="22"/>
          <w:szCs w:val="22"/>
        </w:rPr>
      </w:pPr>
    </w:p>
    <w:p w14:paraId="777DD319" w14:textId="5AD008DE" w:rsidR="00C76F36" w:rsidRDefault="00C76F36" w:rsidP="00CE069A">
      <w:pPr>
        <w:spacing w:line="360" w:lineRule="auto"/>
        <w:jc w:val="both"/>
        <w:rPr>
          <w:rFonts w:ascii="Palatino Linotype" w:hAnsi="Palatino Linotype" w:cs="Tahoma"/>
          <w:sz w:val="22"/>
          <w:szCs w:val="22"/>
        </w:rPr>
      </w:pPr>
      <w:r>
        <w:rPr>
          <w:noProof/>
          <w:lang w:eastAsia="es-MX"/>
        </w:rPr>
        <mc:AlternateContent>
          <mc:Choice Requires="wps">
            <w:drawing>
              <wp:anchor distT="0" distB="0" distL="114300" distR="114300" simplePos="0" relativeHeight="251674624" behindDoc="0" locked="0" layoutInCell="1" allowOverlap="1" wp14:anchorId="3852141B" wp14:editId="76D2B9F4">
                <wp:simplePos x="0" y="0"/>
                <wp:positionH relativeFrom="column">
                  <wp:posOffset>1270</wp:posOffset>
                </wp:positionH>
                <wp:positionV relativeFrom="paragraph">
                  <wp:posOffset>1621790</wp:posOffset>
                </wp:positionV>
                <wp:extent cx="5400675" cy="1905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400675" cy="1905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09415" id="Rectángulo 5" o:spid="_x0000_s1026" style="position:absolute;margin-left:.1pt;margin-top:127.7pt;width:425.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" filled="f" strokecolor="black [3213]" strokeweight="3pt"/>
            </w:pict>
          </mc:Fallback>
        </mc:AlternateContent>
      </w:r>
      <w:r>
        <w:rPr>
          <w:noProof/>
          <w:lang w:eastAsia="es-MX"/>
        </w:rPr>
        <w:drawing>
          <wp:inline distT="0" distB="0" distL="0" distR="0" wp14:anchorId="404A7F99" wp14:editId="790FF184">
            <wp:extent cx="5400675" cy="18097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675" cy="1809750"/>
                    </a:xfrm>
                    <a:prstGeom prst="rect">
                      <a:avLst/>
                    </a:prstGeom>
                  </pic:spPr>
                </pic:pic>
              </a:graphicData>
            </a:graphic>
          </wp:inline>
        </w:drawing>
      </w:r>
    </w:p>
    <w:p w14:paraId="67AA5F04" w14:textId="2D8ED00B" w:rsidR="00C76F36" w:rsidRDefault="00C76F36" w:rsidP="00CE069A">
      <w:pPr>
        <w:spacing w:line="360" w:lineRule="auto"/>
        <w:jc w:val="both"/>
        <w:rPr>
          <w:rFonts w:ascii="Palatino Linotype" w:hAnsi="Palatino Linotype" w:cs="Tahoma"/>
          <w:sz w:val="22"/>
          <w:szCs w:val="22"/>
        </w:rPr>
      </w:pPr>
    </w:p>
    <w:p w14:paraId="013D23AF" w14:textId="12627908" w:rsidR="002613D8" w:rsidRDefault="002613D8" w:rsidP="00CE069A">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del Recurso de Revisión 0</w:t>
      </w:r>
      <w:r w:rsidR="00811941">
        <w:rPr>
          <w:rFonts w:ascii="Palatino Linotype" w:hAnsi="Palatino Linotype" w:cs="Tahoma"/>
          <w:sz w:val="22"/>
          <w:szCs w:val="22"/>
        </w:rPr>
        <w:t>4636</w:t>
      </w:r>
      <w:r>
        <w:rPr>
          <w:rFonts w:ascii="Palatino Linotype" w:hAnsi="Palatino Linotype" w:cs="Tahoma"/>
          <w:sz w:val="22"/>
          <w:szCs w:val="22"/>
        </w:rPr>
        <w:t xml:space="preserve">/INFOEM/IP/RR/2018,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r w:rsidR="00C76F36">
        <w:rPr>
          <w:rFonts w:ascii="Palatino Linotype" w:eastAsia="Calibri" w:hAnsi="Palatino Linotype" w:cs="Tahoma"/>
          <w:sz w:val="22"/>
          <w:szCs w:val="22"/>
          <w:lang w:eastAsia="es-ES_tradnl"/>
        </w:rPr>
        <w:t xml:space="preserve"> </w:t>
      </w:r>
    </w:p>
    <w:p w14:paraId="12E3C0F7" w14:textId="77777777" w:rsidR="002613D8" w:rsidRDefault="002613D8" w:rsidP="00CE069A">
      <w:pPr>
        <w:spacing w:line="360" w:lineRule="auto"/>
        <w:jc w:val="both"/>
        <w:rPr>
          <w:rFonts w:ascii="Palatino Linotype" w:eastAsia="Calibri" w:hAnsi="Palatino Linotype" w:cs="Tahoma"/>
          <w:sz w:val="22"/>
          <w:szCs w:val="22"/>
          <w:lang w:eastAsia="es-ES_tradnl"/>
        </w:rPr>
      </w:pPr>
    </w:p>
    <w:p w14:paraId="19330328" w14:textId="311F2959" w:rsidR="002613D8" w:rsidRDefault="000B7BD0"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sidR="00EA6E8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Semanario Judicial de la Federación y su Gaceta,</w:t>
      </w:r>
      <w:r w:rsidR="00EA6E8E">
        <w:rPr>
          <w:rFonts w:ascii="Palatino Linotype" w:eastAsia="Calibri" w:hAnsi="Palatino Linotype" w:cs="Tahoma"/>
          <w:sz w:val="22"/>
          <w:szCs w:val="22"/>
          <w:lang w:eastAsia="es-ES_tradnl"/>
        </w:rPr>
        <w:t xml:space="preserve"> Novena </w:t>
      </w:r>
      <w:r w:rsidR="002E40C6">
        <w:rPr>
          <w:rFonts w:ascii="Palatino Linotype" w:eastAsia="Calibri" w:hAnsi="Palatino Linotype" w:cs="Tahoma"/>
          <w:sz w:val="22"/>
          <w:szCs w:val="22"/>
          <w:lang w:eastAsia="es-ES_tradnl"/>
        </w:rPr>
        <w:t>É</w:t>
      </w:r>
      <w:r w:rsidR="00EA6E8E">
        <w:rPr>
          <w:rFonts w:ascii="Palatino Linotype" w:eastAsia="Calibri" w:hAnsi="Palatino Linotype" w:cs="Tahoma"/>
          <w:sz w:val="22"/>
          <w:szCs w:val="22"/>
          <w:lang w:eastAsia="es-ES_tradnl"/>
        </w:rPr>
        <w:t>poca,</w:t>
      </w:r>
      <w:r w:rsidR="00EA6E8E" w:rsidRPr="00EA6E8E">
        <w:rPr>
          <w:rFonts w:ascii="Palatino Linotype" w:eastAsia="Calibri" w:hAnsi="Palatino Linotype" w:cs="Tahoma"/>
          <w:sz w:val="22"/>
          <w:szCs w:val="22"/>
          <w:lang w:eastAsia="es-ES_tradnl"/>
        </w:rPr>
        <w:t xml:space="preserve"> </w:t>
      </w:r>
      <w:r w:rsidR="00EA6E8E">
        <w:rPr>
          <w:rFonts w:ascii="Palatino Linotype" w:eastAsia="Calibri" w:hAnsi="Palatino Linotype" w:cs="Tahoma"/>
          <w:sz w:val="22"/>
          <w:szCs w:val="22"/>
          <w:lang w:eastAsia="es-ES_tradnl"/>
        </w:rPr>
        <w:t xml:space="preserve">Tomo XXII, </w:t>
      </w:r>
      <w:r>
        <w:rPr>
          <w:rFonts w:ascii="Palatino Linotype" w:eastAsia="Calibri" w:hAnsi="Palatino Linotype" w:cs="Tahoma"/>
          <w:sz w:val="22"/>
          <w:szCs w:val="22"/>
          <w:lang w:eastAsia="es-ES_tradnl"/>
        </w:rPr>
        <w:t>julio de dos mil cinco, página ciento sesenta y uno</w:t>
      </w:r>
      <w:r w:rsidR="00EA6E8E">
        <w:rPr>
          <w:rFonts w:ascii="Palatino Linotype" w:eastAsia="Calibri" w:hAnsi="Palatino Linotype" w:cs="Tahoma"/>
          <w:sz w:val="22"/>
          <w:szCs w:val="22"/>
          <w:lang w:eastAsia="es-ES_tradnl"/>
        </w:rPr>
        <w:t>, que establece lo siguiente:</w:t>
      </w:r>
    </w:p>
    <w:p w14:paraId="4CDAF4BB" w14:textId="77777777" w:rsidR="00EA6E8E" w:rsidRDefault="00EA6E8E" w:rsidP="00CE069A">
      <w:pPr>
        <w:spacing w:line="360" w:lineRule="auto"/>
        <w:jc w:val="both"/>
        <w:rPr>
          <w:rFonts w:ascii="Palatino Linotype" w:eastAsia="Calibri" w:hAnsi="Palatino Linotype" w:cs="Tahoma"/>
          <w:sz w:val="22"/>
          <w:szCs w:val="22"/>
          <w:lang w:eastAsia="es-ES_tradnl"/>
        </w:rPr>
      </w:pPr>
    </w:p>
    <w:p w14:paraId="0F954F60" w14:textId="77777777" w:rsidR="00EA6E8E" w:rsidRPr="00EA6E8E"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w:t>
      </w:r>
      <w:r w:rsidRPr="00EA6E8E">
        <w:rPr>
          <w:rFonts w:ascii="Palatino Linotype" w:eastAsia="Calibri" w:hAnsi="Palatino Linotype" w:cs="Tahoma"/>
          <w:b/>
          <w:lang w:val="es-ES" w:eastAsia="es-ES_tradnl"/>
        </w:rPr>
        <w:t>DESISTIMIENTO DE LA INSTANCIA. SURTE EFECTOS DESDE EL MOMENTO EN QUE SE PRESENTA EL ESCRITO CORRESPONDIENTE.</w:t>
      </w:r>
      <w:r w:rsidRPr="00EA6E8E">
        <w:rPr>
          <w:rFonts w:ascii="Palatino Linotype" w:eastAsia="Calibri" w:hAnsi="Palatino Linotype" w:cs="Tahoma"/>
          <w:lang w:val="es-ES" w:eastAsia="es-ES_tradnl"/>
        </w:rPr>
        <w:cr/>
      </w:r>
    </w:p>
    <w:p w14:paraId="218EAF84" w14:textId="6092A3C5" w:rsidR="002613D8"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w:t>
      </w:r>
      <w:r w:rsidRPr="00EA6E8E">
        <w:rPr>
          <w:rFonts w:ascii="Palatino Linotype" w:eastAsia="Calibri" w:hAnsi="Palatino Linotype" w:cs="Tahoma"/>
          <w:lang w:val="es-ES" w:eastAsia="es-ES_tradnl"/>
        </w:rPr>
        <w:lastRenderedPageBreak/>
        <w:t>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w:t>
      </w:r>
      <w:r>
        <w:rPr>
          <w:rFonts w:ascii="Palatino Linotype" w:eastAsia="Calibri" w:hAnsi="Palatino Linotype" w:cs="Tahoma"/>
          <w:lang w:val="es-ES" w:eastAsia="es-ES_tradnl"/>
        </w:rPr>
        <w:t>e la autoridad jurisdiccional.</w:t>
      </w:r>
    </w:p>
    <w:p w14:paraId="79F0249B" w14:textId="77777777" w:rsidR="002613D8" w:rsidRPr="00EA6E8E" w:rsidRDefault="002613D8" w:rsidP="00CE069A">
      <w:pPr>
        <w:spacing w:line="360" w:lineRule="auto"/>
        <w:jc w:val="both"/>
        <w:rPr>
          <w:rFonts w:ascii="Palatino Linotype" w:eastAsia="Calibri" w:hAnsi="Palatino Linotype" w:cs="Tahoma"/>
          <w:sz w:val="22"/>
          <w:szCs w:val="22"/>
          <w:lang w:val="es-ES" w:eastAsia="es-ES_tradnl"/>
        </w:rPr>
      </w:pPr>
    </w:p>
    <w:p w14:paraId="0E1EA0B0" w14:textId="38B9EDB4" w:rsidR="00EA6E8E" w:rsidRPr="00EA6E8E" w:rsidRDefault="009677E4" w:rsidP="00CE069A">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C76F36">
        <w:rPr>
          <w:rFonts w:ascii="Palatino Linotype" w:hAnsi="Palatino Linotype" w:cs="Tahoma"/>
          <w:sz w:val="22"/>
          <w:szCs w:val="22"/>
        </w:rPr>
        <w:t>,</w:t>
      </w:r>
      <w:r w:rsidR="00EA6E8E">
        <w:rPr>
          <w:rFonts w:ascii="Palatino Linotype" w:hAnsi="Palatino Linotype" w:cs="Tahoma"/>
          <w:sz w:val="22"/>
          <w:szCs w:val="22"/>
        </w:rPr>
        <w:t xml:space="preserve"> se pu</w:t>
      </w:r>
      <w:r w:rsidR="00C76F36">
        <w:rPr>
          <w:rFonts w:ascii="Palatino Linotype" w:hAnsi="Palatino Linotype" w:cs="Tahoma"/>
          <w:sz w:val="22"/>
          <w:szCs w:val="22"/>
        </w:rPr>
        <w:t>e</w:t>
      </w:r>
      <w:r w:rsidR="00EA6E8E">
        <w:rPr>
          <w:rFonts w:ascii="Palatino Linotype" w:hAnsi="Palatino Linotype" w:cs="Tahoma"/>
          <w:sz w:val="22"/>
          <w:szCs w:val="22"/>
        </w:rPr>
        <w:t xml:space="preserve">de colegir que cuando el Recurrente presente </w:t>
      </w:r>
      <w:r>
        <w:rPr>
          <w:rFonts w:ascii="Palatino Linotype" w:hAnsi="Palatino Linotype" w:cs="Tahoma"/>
          <w:sz w:val="22"/>
          <w:szCs w:val="22"/>
        </w:rPr>
        <w:t xml:space="preserve">un </w:t>
      </w:r>
      <w:r w:rsidR="00EA6E8E">
        <w:rPr>
          <w:rFonts w:ascii="Palatino Linotype" w:hAnsi="Palatino Linotype" w:cs="Tahoma"/>
          <w:sz w:val="22"/>
          <w:szCs w:val="22"/>
        </w:rPr>
        <w:t xml:space="preserve">escrito de desistimiento, </w:t>
      </w:r>
      <w:r>
        <w:rPr>
          <w:rFonts w:ascii="Palatino Linotype" w:hAnsi="Palatino Linotype" w:cs="Tahoma"/>
          <w:sz w:val="22"/>
          <w:szCs w:val="22"/>
        </w:rPr>
        <w:t>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AB19EF9" w14:textId="77777777" w:rsidR="00CE4250" w:rsidRPr="00EA6E8E" w:rsidRDefault="00CE4250" w:rsidP="00CE069A">
      <w:pPr>
        <w:spacing w:line="360" w:lineRule="auto"/>
        <w:jc w:val="both"/>
        <w:rPr>
          <w:rFonts w:ascii="Palatino Linotype" w:hAnsi="Palatino Linotype" w:cs="Tahoma"/>
          <w:sz w:val="22"/>
          <w:szCs w:val="22"/>
        </w:rPr>
      </w:pPr>
    </w:p>
    <w:p w14:paraId="3B2CC310" w14:textId="7FEB124C" w:rsidR="002613D8" w:rsidRPr="00731819" w:rsidRDefault="00731819" w:rsidP="00CE069A">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 de la Ley de Transparencia y Acceso a la Información Pública del Estado de México y Municipios, en relación con el 186, fracción I de ese ordenamiento legal.</w:t>
      </w: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lastRenderedPageBreak/>
        <w:t>Por lo expuesto y fundado, el Pleno de este Instituto:</w:t>
      </w:r>
    </w:p>
    <w:p w14:paraId="333CA9CC" w14:textId="77777777" w:rsidR="002613D8" w:rsidRDefault="002613D8" w:rsidP="00CE069A">
      <w:pPr>
        <w:spacing w:line="360" w:lineRule="auto"/>
        <w:jc w:val="both"/>
        <w:rPr>
          <w:rFonts w:ascii="Palatino Linotype" w:hAnsi="Palatino Linotype" w:cs="Tahoma"/>
          <w:sz w:val="22"/>
          <w:szCs w:val="22"/>
        </w:rPr>
      </w:pP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5A5256B8" w14:textId="4D3F7DAE" w:rsidR="00731819" w:rsidRDefault="00731819" w:rsidP="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sidR="00856AAA">
        <w:rPr>
          <w:rFonts w:ascii="Palatino Linotype" w:hAnsi="Palatino Linotype" w:cs="Arial"/>
          <w:bCs/>
          <w:color w:val="000000" w:themeColor="text1"/>
          <w:sz w:val="22"/>
          <w:szCs w:val="22"/>
          <w:lang w:val="es-ES"/>
        </w:rPr>
        <w:t>Recurso de R</w:t>
      </w:r>
      <w:r>
        <w:rPr>
          <w:rFonts w:ascii="Palatino Linotype" w:hAnsi="Palatino Linotype" w:cs="Arial"/>
          <w:bCs/>
          <w:color w:val="000000" w:themeColor="text1"/>
          <w:sz w:val="22"/>
          <w:szCs w:val="22"/>
          <w:lang w:val="es-ES"/>
        </w:rPr>
        <w:t xml:space="preserve">evisión número </w:t>
      </w:r>
      <w:r w:rsidR="00354E1B">
        <w:rPr>
          <w:rFonts w:ascii="Palatino Linotype" w:hAnsi="Palatino Linotype" w:cs="Arial"/>
          <w:bCs/>
          <w:color w:val="000000" w:themeColor="text1"/>
          <w:sz w:val="22"/>
          <w:szCs w:val="22"/>
          <w:lang w:val="es-ES"/>
        </w:rPr>
        <w:t>0</w:t>
      </w:r>
      <w:r w:rsidR="00811941">
        <w:rPr>
          <w:rFonts w:ascii="Palatino Linotype" w:hAnsi="Palatino Linotype" w:cs="Arial"/>
          <w:bCs/>
          <w:color w:val="000000" w:themeColor="text1"/>
          <w:sz w:val="22"/>
          <w:szCs w:val="22"/>
          <w:lang w:val="es-ES"/>
        </w:rPr>
        <w:t>4636</w:t>
      </w:r>
      <w:r w:rsidRPr="00F143B3">
        <w:rPr>
          <w:rFonts w:ascii="Palatino Linotype" w:hAnsi="Palatino Linotype" w:cs="Arial"/>
          <w:bCs/>
          <w:color w:val="000000" w:themeColor="text1"/>
          <w:sz w:val="22"/>
          <w:szCs w:val="22"/>
          <w:lang w:val="es-ES"/>
        </w:rPr>
        <w:t xml:space="preserve">/INFOEM/IP/RR/2018, </w:t>
      </w:r>
      <w:r w:rsidR="00354E1B">
        <w:rPr>
          <w:rFonts w:ascii="Palatino Linotype" w:hAnsi="Palatino Linotype" w:cs="Arial"/>
          <w:b/>
          <w:bCs/>
          <w:color w:val="000000" w:themeColor="text1"/>
          <w:sz w:val="22"/>
          <w:szCs w:val="22"/>
          <w:lang w:val="es-ES"/>
        </w:rPr>
        <w:t>por h</w:t>
      </w:r>
      <w:r w:rsidR="001507BF">
        <w:rPr>
          <w:rFonts w:ascii="Palatino Linotype" w:hAnsi="Palatino Linotype" w:cs="Arial"/>
          <w:b/>
          <w:bCs/>
          <w:color w:val="000000" w:themeColor="text1"/>
          <w:sz w:val="22"/>
          <w:szCs w:val="22"/>
          <w:lang w:val="es-ES"/>
        </w:rPr>
        <w:t>aberse desistido expresamente el</w:t>
      </w:r>
      <w:r w:rsidR="00354E1B">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354E1B">
        <w:rPr>
          <w:rFonts w:ascii="Palatino Linotype" w:hAnsi="Palatino Linotype" w:cs="Arial"/>
          <w:bCs/>
          <w:color w:val="000000" w:themeColor="text1"/>
          <w:sz w:val="22"/>
          <w:szCs w:val="22"/>
          <w:lang w:val="es-ES"/>
        </w:rPr>
        <w:t>TERCE</w:t>
      </w:r>
      <w:r w:rsidR="00856AAA">
        <w:rPr>
          <w:rFonts w:ascii="Palatino Linotype" w:hAnsi="Palatino Linotype" w:cs="Arial"/>
          <w:bCs/>
          <w:color w:val="000000" w:themeColor="text1"/>
          <w:sz w:val="22"/>
          <w:szCs w:val="22"/>
          <w:lang w:val="es-ES"/>
        </w:rPr>
        <w:t>R</w:t>
      </w:r>
      <w:r w:rsidR="00354E1B">
        <w:rPr>
          <w:rFonts w:ascii="Palatino Linotype" w:hAnsi="Palatino Linotype" w:cs="Arial"/>
          <w:bCs/>
          <w:color w:val="000000" w:themeColor="text1"/>
          <w:sz w:val="22"/>
          <w:szCs w:val="22"/>
          <w:lang w:val="es-ES"/>
        </w:rPr>
        <w:t>O</w:t>
      </w:r>
      <w:r w:rsidRPr="00F143B3">
        <w:rPr>
          <w:rFonts w:ascii="Palatino Linotype" w:hAnsi="Palatino Linotype" w:cs="Arial"/>
          <w:bCs/>
          <w:color w:val="000000" w:themeColor="text1"/>
          <w:sz w:val="22"/>
          <w:szCs w:val="22"/>
          <w:lang w:val="es-ES"/>
        </w:rPr>
        <w:t xml:space="preserve"> de la presente </w:t>
      </w:r>
      <w:r w:rsidR="00AE434A">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23D5A896" w14:textId="77777777" w:rsidR="00731819" w:rsidRPr="00F36D08" w:rsidRDefault="00731819"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77777777"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16C913A0" w14:textId="47F4E9F6" w:rsidR="00354E1B" w:rsidRPr="005C6C26" w:rsidRDefault="00354E1B" w:rsidP="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C76F36">
        <w:rPr>
          <w:rFonts w:ascii="Palatino Linotype" w:hAnsi="Palatino Linotype" w:cs="Tahoma"/>
          <w:sz w:val="22"/>
          <w:szCs w:val="24"/>
          <w:lang w:eastAsia="es-MX"/>
        </w:rPr>
        <w:t>SEXTA</w:t>
      </w:r>
      <w:r w:rsidRPr="005C6C26">
        <w:rPr>
          <w:rFonts w:ascii="Palatino Linotype" w:hAnsi="Palatino Linotype" w:cs="Tahoma"/>
          <w:sz w:val="22"/>
          <w:szCs w:val="24"/>
          <w:lang w:eastAsia="es-MX"/>
        </w:rPr>
        <w:t xml:space="preserve"> SESIÓN ORDINARIA, CELEBRADA EL </w:t>
      </w:r>
      <w:r w:rsidR="00C76F36">
        <w:rPr>
          <w:rFonts w:ascii="Palatino Linotype" w:hAnsi="Palatino Linotype" w:cs="Tahoma"/>
          <w:sz w:val="22"/>
          <w:szCs w:val="24"/>
          <w:lang w:eastAsia="es-MX"/>
        </w:rPr>
        <w:t>TRECE DE FEBRERO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44D62">
        <w:tc>
          <w:tcPr>
            <w:tcW w:w="9214" w:type="dxa"/>
            <w:gridSpan w:val="2"/>
          </w:tcPr>
          <w:p w14:paraId="19A82E44" w14:textId="1815C9AE" w:rsidR="00CE4250" w:rsidRDefault="00CE4250" w:rsidP="00FA330C">
            <w:pPr>
              <w:spacing w:line="360" w:lineRule="auto"/>
              <w:rPr>
                <w:rFonts w:ascii="Palatino Linotype" w:eastAsia="Calibri" w:hAnsi="Palatino Linotype" w:cs="Tahoma"/>
                <w:b/>
                <w:sz w:val="22"/>
                <w:szCs w:val="22"/>
                <w:lang w:eastAsia="es-MX"/>
              </w:rPr>
            </w:pPr>
          </w:p>
          <w:p w14:paraId="16E6DBCD" w14:textId="77777777" w:rsidR="00FA330C" w:rsidRPr="00CE4250" w:rsidRDefault="00FA330C"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Comisionada </w:t>
            </w:r>
            <w:proofErr w:type="gramStart"/>
            <w:r w:rsidRPr="00CE4250">
              <w:rPr>
                <w:rFonts w:ascii="Palatino Linotype" w:eastAsia="Calibri" w:hAnsi="Palatino Linotype" w:cs="Tahoma"/>
                <w:sz w:val="22"/>
                <w:szCs w:val="22"/>
                <w:lang w:eastAsia="es-MX"/>
              </w:rPr>
              <w:t>Presidenta</w:t>
            </w:r>
            <w:proofErr w:type="gramEnd"/>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44D62">
            <w:pPr>
              <w:spacing w:line="360" w:lineRule="auto"/>
              <w:ind w:right="-108"/>
              <w:rPr>
                <w:rFonts w:ascii="Palatino Linotype" w:eastAsia="Calibri" w:hAnsi="Palatino Linotype" w:cs="Tahoma"/>
                <w:b/>
                <w:sz w:val="22"/>
                <w:szCs w:val="22"/>
              </w:rPr>
            </w:pPr>
          </w:p>
        </w:tc>
      </w:tr>
      <w:tr w:rsidR="00354E1B" w:rsidRPr="00025F5D" w14:paraId="50C93675" w14:textId="77777777" w:rsidTr="00144D62">
        <w:trPr>
          <w:trHeight w:val="2673"/>
        </w:trPr>
        <w:tc>
          <w:tcPr>
            <w:tcW w:w="4678" w:type="dxa"/>
          </w:tcPr>
          <w:p w14:paraId="7727E842" w14:textId="77777777" w:rsidR="00354E1B" w:rsidRDefault="00354E1B" w:rsidP="00144D62">
            <w:pPr>
              <w:spacing w:line="360" w:lineRule="auto"/>
              <w:ind w:right="29"/>
              <w:jc w:val="center"/>
              <w:rPr>
                <w:rFonts w:ascii="Palatino Linotype" w:eastAsia="Calibri" w:hAnsi="Palatino Linotype" w:cs="Tahoma"/>
                <w:b/>
                <w:sz w:val="22"/>
                <w:szCs w:val="22"/>
              </w:rPr>
            </w:pPr>
          </w:p>
          <w:p w14:paraId="291A706D" w14:textId="20A55EB6" w:rsidR="00CE4250" w:rsidRPr="00CE4250" w:rsidRDefault="00CE4250" w:rsidP="00CE4250">
            <w:pPr>
              <w:spacing w:line="360" w:lineRule="auto"/>
              <w:ind w:right="29"/>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Yapur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44D62">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7657E0C8" w14:textId="77777777" w:rsidR="00CE4250" w:rsidRDefault="00CE4250" w:rsidP="00144D62">
            <w:pPr>
              <w:spacing w:line="360" w:lineRule="auto"/>
              <w:ind w:left="747" w:right="-108"/>
              <w:jc w:val="center"/>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44D62">
            <w:pPr>
              <w:spacing w:line="360" w:lineRule="auto"/>
              <w:rPr>
                <w:rFonts w:ascii="Palatino Linotype" w:eastAsia="Calibri" w:hAnsi="Palatino Linotype" w:cs="Tahoma"/>
                <w:b/>
                <w:sz w:val="22"/>
                <w:szCs w:val="22"/>
                <w:lang w:eastAsia="es-MX"/>
              </w:rPr>
            </w:pPr>
          </w:p>
        </w:tc>
      </w:tr>
      <w:tr w:rsidR="00354E1B" w:rsidRPr="00025F5D" w14:paraId="745E8B2A" w14:textId="77777777" w:rsidTr="00144D62">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44D62">
        <w:tc>
          <w:tcPr>
            <w:tcW w:w="9214" w:type="dxa"/>
            <w:gridSpan w:val="2"/>
          </w:tcPr>
          <w:p w14:paraId="6A0DC2AA" w14:textId="77777777" w:rsidR="00354E1B" w:rsidRPr="00CE4250" w:rsidRDefault="00354E1B" w:rsidP="00144D62">
            <w:pPr>
              <w:spacing w:line="360" w:lineRule="auto"/>
              <w:jc w:val="center"/>
              <w:rPr>
                <w:rFonts w:ascii="Palatino Linotype" w:eastAsia="Calibri" w:hAnsi="Palatino Linotype" w:cs="Tahoma"/>
                <w:b/>
                <w:sz w:val="22"/>
                <w:szCs w:val="22"/>
              </w:rPr>
            </w:pPr>
          </w:p>
          <w:p w14:paraId="2CF1F011" w14:textId="695B9277" w:rsidR="00354E1B" w:rsidRDefault="00597052" w:rsidP="00144D62">
            <w:pPr>
              <w:spacing w:line="360" w:lineRule="auto"/>
              <w:jc w:val="center"/>
              <w:rPr>
                <w:rFonts w:ascii="Palatino Linotype" w:eastAsia="Calibri" w:hAnsi="Palatino Linotype" w:cs="Tahoma"/>
                <w:b/>
                <w:sz w:val="22"/>
                <w:szCs w:val="22"/>
              </w:rPr>
            </w:pPr>
            <w:r>
              <w:rPr>
                <w:rFonts w:ascii="Palatino Linotype" w:eastAsia="Calibri" w:hAnsi="Palatino Linotype" w:cs="Tahoma"/>
                <w:b/>
                <w:sz w:val="22"/>
                <w:szCs w:val="22"/>
              </w:rPr>
              <w:t xml:space="preserve"> </w:t>
            </w:r>
            <w:bookmarkStart w:id="0" w:name="_GoBack"/>
            <w:bookmarkEnd w:id="0"/>
          </w:p>
          <w:p w14:paraId="58937CC3" w14:textId="6538C2AF" w:rsidR="00354E1B" w:rsidRPr="00CE4250" w:rsidRDefault="00354E1B"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6C42B33C" w14:textId="77777777" w:rsidR="00354E1B" w:rsidRDefault="00354E1B" w:rsidP="00354E1B">
      <w:pPr>
        <w:tabs>
          <w:tab w:val="left" w:pos="8931"/>
        </w:tabs>
        <w:spacing w:line="360" w:lineRule="auto"/>
        <w:ind w:right="-93"/>
        <w:jc w:val="both"/>
        <w:rPr>
          <w:rFonts w:ascii="Palatino Linotype" w:eastAsia="Calibri" w:hAnsi="Palatino Linotype" w:cs="Tahoma"/>
          <w:lang w:eastAsia="en-US"/>
        </w:rPr>
      </w:pPr>
    </w:p>
    <w:p w14:paraId="7F5998D4" w14:textId="2C0B2B6C" w:rsidR="002613D8" w:rsidRPr="00C76F36"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C76F36">
        <w:rPr>
          <w:rFonts w:ascii="Palatino Linotype" w:eastAsia="Calibri" w:hAnsi="Palatino Linotype" w:cs="Tahoma"/>
          <w:sz w:val="22"/>
          <w:lang w:eastAsia="en-US"/>
        </w:rPr>
        <w:t>trece de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811941">
        <w:rPr>
          <w:rFonts w:ascii="Palatino Linotype" w:eastAsia="Calibri" w:hAnsi="Palatino Linotype" w:cs="Tahoma"/>
          <w:b/>
          <w:bCs/>
          <w:sz w:val="22"/>
          <w:lang w:eastAsia="en-US"/>
        </w:rPr>
        <w:t>4636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2613D8" w:rsidRPr="00C76F36"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0ED7F" w14:textId="77777777" w:rsidR="009F3A7A" w:rsidRDefault="009F3A7A" w:rsidP="00B31222">
      <w:r>
        <w:separator/>
      </w:r>
    </w:p>
  </w:endnote>
  <w:endnote w:type="continuationSeparator" w:id="0">
    <w:p w14:paraId="6ED0D72F" w14:textId="77777777" w:rsidR="009F3A7A" w:rsidRDefault="009F3A7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05CC904A" w:rsidR="00946AFE" w:rsidRPr="00147666" w:rsidRDefault="00946AF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A25BAD">
              <w:rPr>
                <w:rFonts w:ascii="Palatino Linotype" w:hAnsi="Palatino Linotype"/>
                <w:b/>
                <w:bCs/>
                <w:noProof/>
              </w:rPr>
              <w:t>13</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A25BAD">
              <w:rPr>
                <w:rFonts w:ascii="Palatino Linotype" w:hAnsi="Palatino Linotype"/>
                <w:b/>
                <w:bCs/>
                <w:noProof/>
              </w:rPr>
              <w:t>13</w:t>
            </w:r>
            <w:r w:rsidRPr="00147666">
              <w:rPr>
                <w:rFonts w:ascii="Palatino Linotype" w:hAnsi="Palatino Linotype"/>
                <w:b/>
                <w:bCs/>
                <w:sz w:val="24"/>
                <w:szCs w:val="24"/>
              </w:rPr>
              <w:fldChar w:fldCharType="end"/>
            </w:r>
          </w:p>
        </w:sdtContent>
      </w:sdt>
    </w:sdtContent>
  </w:sdt>
  <w:p w14:paraId="20CE2247" w14:textId="77777777" w:rsidR="00946AFE" w:rsidRDefault="00946A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386FA58F" w:rsidR="00946AFE" w:rsidRDefault="00946A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684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684E">
              <w:rPr>
                <w:b/>
                <w:bCs/>
                <w:noProof/>
              </w:rPr>
              <w:t>1</w:t>
            </w:r>
            <w:r>
              <w:rPr>
                <w:b/>
                <w:bCs/>
                <w:sz w:val="24"/>
                <w:szCs w:val="24"/>
              </w:rPr>
              <w:fldChar w:fldCharType="end"/>
            </w:r>
          </w:p>
        </w:sdtContent>
      </w:sdt>
    </w:sdtContent>
  </w:sdt>
  <w:p w14:paraId="6C00EE52" w14:textId="77777777" w:rsidR="00946AFE" w:rsidRDefault="00946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6C7CB" w14:textId="77777777" w:rsidR="009F3A7A" w:rsidRDefault="009F3A7A" w:rsidP="00B31222">
      <w:r>
        <w:separator/>
      </w:r>
    </w:p>
  </w:footnote>
  <w:footnote w:type="continuationSeparator" w:id="0">
    <w:p w14:paraId="7658CFE4" w14:textId="77777777" w:rsidR="009F3A7A" w:rsidRDefault="009F3A7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46AFE" w:rsidRPr="002A2CB9" w14:paraId="4BDBBB9B" w14:textId="77777777" w:rsidTr="00202DB8">
      <w:trPr>
        <w:trHeight w:val="1435"/>
      </w:trPr>
      <w:tc>
        <w:tcPr>
          <w:tcW w:w="2835" w:type="dxa"/>
          <w:shd w:val="clear" w:color="auto" w:fill="auto"/>
        </w:tcPr>
        <w:p w14:paraId="7F0435E5" w14:textId="77777777" w:rsidR="00946AFE" w:rsidRPr="005C106F" w:rsidRDefault="00946AFE"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946AFE" w:rsidRPr="002A2CB9" w:rsidRDefault="00946AFE" w:rsidP="005743D2">
          <w:pPr>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946AFE" w:rsidRPr="002A2CB9" w14:paraId="0CD4B7CE" w14:textId="77777777" w:rsidTr="002B0531">
            <w:trPr>
              <w:trHeight w:val="144"/>
            </w:trPr>
            <w:tc>
              <w:tcPr>
                <w:tcW w:w="2727" w:type="dxa"/>
              </w:tcPr>
              <w:p w14:paraId="5F68398A"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2166868A" w:rsidR="00946AFE" w:rsidRPr="002A2CB9" w:rsidRDefault="00946AFE"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11941">
                  <w:rPr>
                    <w:rFonts w:ascii="Palatino Linotype" w:eastAsia="Calibri" w:hAnsi="Palatino Linotype" w:cs="Tahoma"/>
                    <w:bCs/>
                    <w:sz w:val="22"/>
                    <w:szCs w:val="22"/>
                    <w:lang w:eastAsia="en-US"/>
                  </w:rPr>
                  <w:t>4636</w:t>
                </w:r>
                <w:r>
                  <w:rPr>
                    <w:rFonts w:ascii="Palatino Linotype" w:eastAsia="Calibri" w:hAnsi="Palatino Linotype" w:cs="Tahoma"/>
                    <w:bCs/>
                    <w:sz w:val="22"/>
                    <w:szCs w:val="22"/>
                    <w:lang w:eastAsia="en-US"/>
                  </w:rPr>
                  <w:t>/INFOEM/IP/RR/2018</w:t>
                </w:r>
              </w:p>
            </w:tc>
          </w:tr>
          <w:tr w:rsidR="00946AFE" w:rsidRPr="002A2CB9" w14:paraId="3864CC0B" w14:textId="77777777" w:rsidTr="002B0531">
            <w:trPr>
              <w:trHeight w:val="283"/>
            </w:trPr>
            <w:tc>
              <w:tcPr>
                <w:tcW w:w="2727" w:type="dxa"/>
              </w:tcPr>
              <w:p w14:paraId="579C09A4"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176ABA7A" w:rsidR="00946AFE" w:rsidRPr="002A2CB9" w:rsidRDefault="00811941"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Tecámac</w:t>
                </w:r>
              </w:p>
            </w:tc>
          </w:tr>
          <w:tr w:rsidR="00946AFE" w:rsidRPr="002A2CB9" w14:paraId="136839A8" w14:textId="77777777" w:rsidTr="002B0531">
            <w:trPr>
              <w:trHeight w:val="283"/>
            </w:trPr>
            <w:tc>
              <w:tcPr>
                <w:tcW w:w="2727" w:type="dxa"/>
              </w:tcPr>
              <w:p w14:paraId="0DF4A43B"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946AFE" w:rsidRPr="002A2CB9" w:rsidRDefault="00946AFE" w:rsidP="005743D2">
          <w:pPr>
            <w:tabs>
              <w:tab w:val="right" w:pos="8838"/>
            </w:tabs>
            <w:ind w:left="-28"/>
            <w:jc w:val="both"/>
            <w:rPr>
              <w:rFonts w:ascii="Arial" w:eastAsia="Calibri" w:hAnsi="Arial" w:cs="Arial"/>
              <w:b/>
              <w:sz w:val="22"/>
              <w:szCs w:val="22"/>
              <w:lang w:eastAsia="en-US"/>
            </w:rPr>
          </w:pPr>
        </w:p>
      </w:tc>
    </w:tr>
  </w:tbl>
  <w:p w14:paraId="47B91189" w14:textId="77777777" w:rsidR="00946AFE" w:rsidRPr="00354E1B" w:rsidRDefault="00946AFE" w:rsidP="00EF4A64">
    <w:pPr>
      <w:pStyle w:val="Encabezado"/>
      <w:rPr>
        <w:sz w:val="12"/>
      </w:rPr>
    </w:pPr>
  </w:p>
  <w:p w14:paraId="0C71F337" w14:textId="77777777" w:rsidR="00354E1B" w:rsidRPr="00354E1B" w:rsidRDefault="00354E1B"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46AFE" w:rsidRPr="005C106F" w14:paraId="5C33977B" w14:textId="77777777" w:rsidTr="003B165A">
      <w:trPr>
        <w:trHeight w:val="1435"/>
      </w:trPr>
      <w:tc>
        <w:tcPr>
          <w:tcW w:w="2835" w:type="dxa"/>
          <w:shd w:val="clear" w:color="auto" w:fill="auto"/>
        </w:tcPr>
        <w:p w14:paraId="3879F539" w14:textId="77777777" w:rsidR="00946AFE" w:rsidRPr="005C106F" w:rsidRDefault="00946AFE" w:rsidP="00946AFE">
          <w:pPr>
            <w:tabs>
              <w:tab w:val="right" w:pos="4273"/>
            </w:tabs>
            <w:jc w:val="both"/>
            <w:rPr>
              <w:rFonts w:ascii="Garamond" w:eastAsia="Calibri" w:hAnsi="Garamond"/>
              <w:sz w:val="16"/>
              <w:szCs w:val="16"/>
              <w:lang w:eastAsia="en-US"/>
            </w:rPr>
          </w:pPr>
        </w:p>
      </w:tc>
      <w:tc>
        <w:tcPr>
          <w:tcW w:w="6733" w:type="dxa"/>
          <w:shd w:val="clear" w:color="auto" w:fill="auto"/>
        </w:tcPr>
        <w:tbl>
          <w:tblPr>
            <w:tblStyle w:val="Tablaconcuadrcula"/>
            <w:tblW w:w="581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2"/>
          </w:tblGrid>
          <w:tr w:rsidR="00946AFE" w:rsidRPr="002A2CB9" w14:paraId="1BF02882" w14:textId="77777777" w:rsidTr="00C76F36">
            <w:trPr>
              <w:trHeight w:val="144"/>
            </w:trPr>
            <w:tc>
              <w:tcPr>
                <w:tcW w:w="2410" w:type="dxa"/>
              </w:tcPr>
              <w:p w14:paraId="39C1549D"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14:paraId="48D7DAC2" w14:textId="3CFACA2F" w:rsidR="00946AFE" w:rsidRPr="002A2CB9" w:rsidRDefault="00946AFE"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11941">
                  <w:rPr>
                    <w:rFonts w:ascii="Palatino Linotype" w:eastAsia="Calibri" w:hAnsi="Palatino Linotype" w:cs="Tahoma"/>
                    <w:bCs/>
                    <w:sz w:val="22"/>
                    <w:szCs w:val="22"/>
                    <w:lang w:eastAsia="en-US"/>
                  </w:rPr>
                  <w:t>4636</w:t>
                </w:r>
                <w:r>
                  <w:rPr>
                    <w:rFonts w:ascii="Palatino Linotype" w:eastAsia="Calibri" w:hAnsi="Palatino Linotype" w:cs="Tahoma"/>
                    <w:bCs/>
                    <w:sz w:val="22"/>
                    <w:szCs w:val="22"/>
                    <w:lang w:eastAsia="en-US"/>
                  </w:rPr>
                  <w:t>/INFOEM/IP/RR/2018</w:t>
                </w:r>
              </w:p>
            </w:tc>
          </w:tr>
          <w:tr w:rsidR="00946AFE" w:rsidRPr="002A2CB9" w14:paraId="02DAB6C3" w14:textId="77777777" w:rsidTr="00C76F36">
            <w:trPr>
              <w:trHeight w:val="144"/>
            </w:trPr>
            <w:tc>
              <w:tcPr>
                <w:tcW w:w="2410" w:type="dxa"/>
              </w:tcPr>
              <w:p w14:paraId="674EC982"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14:paraId="5495689A" w14:textId="6D64735A" w:rsidR="00946AFE" w:rsidRPr="002A2CB9" w:rsidRDefault="00946AFE" w:rsidP="00946AFE">
                <w:pPr>
                  <w:tabs>
                    <w:tab w:val="left" w:pos="3122"/>
                    <w:tab w:val="right" w:pos="8838"/>
                  </w:tabs>
                  <w:spacing w:line="360" w:lineRule="auto"/>
                  <w:ind w:left="-74" w:right="-108"/>
                  <w:jc w:val="both"/>
                  <w:rPr>
                    <w:rFonts w:ascii="Palatino Linotype" w:eastAsia="Calibri" w:hAnsi="Palatino Linotype" w:cs="Tahoma"/>
                    <w:sz w:val="22"/>
                    <w:szCs w:val="22"/>
                    <w:lang w:val="es-MX" w:eastAsia="en-US"/>
                  </w:rPr>
                </w:pPr>
              </w:p>
            </w:tc>
          </w:tr>
          <w:tr w:rsidR="00946AFE" w:rsidRPr="002A2CB9" w14:paraId="2E02FA2B" w14:textId="77777777" w:rsidTr="00C76F36">
            <w:trPr>
              <w:trHeight w:val="283"/>
            </w:trPr>
            <w:tc>
              <w:tcPr>
                <w:tcW w:w="2410" w:type="dxa"/>
              </w:tcPr>
              <w:p w14:paraId="1BA21003"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14:paraId="334D0D46" w14:textId="04C0C648" w:rsidR="00946AFE" w:rsidRPr="002A2CB9" w:rsidRDefault="00811941"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Tecámac</w:t>
                </w:r>
              </w:p>
            </w:tc>
          </w:tr>
          <w:tr w:rsidR="00946AFE" w:rsidRPr="002A2CB9" w14:paraId="78E10921" w14:textId="77777777" w:rsidTr="00C76F36">
            <w:trPr>
              <w:trHeight w:val="283"/>
            </w:trPr>
            <w:tc>
              <w:tcPr>
                <w:tcW w:w="2410" w:type="dxa"/>
              </w:tcPr>
              <w:p w14:paraId="4343FEE4"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14:paraId="22963E4E" w14:textId="77777777" w:rsidR="00946AFE" w:rsidRPr="002A2CB9" w:rsidRDefault="00946AFE"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946AFE" w:rsidRPr="002A2CB9" w:rsidRDefault="00946AFE"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946AFE" w:rsidRDefault="00946AFE" w:rsidP="00B727C5">
    <w:pPr>
      <w:pStyle w:val="Encabezado"/>
    </w:pPr>
  </w:p>
  <w:p w14:paraId="5DC13FE7" w14:textId="77777777" w:rsidR="00354E1B" w:rsidRPr="00354E1B" w:rsidRDefault="00354E1B"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22"/>
  </w:num>
  <w:num w:numId="5">
    <w:abstractNumId w:val="11"/>
  </w:num>
  <w:num w:numId="6">
    <w:abstractNumId w:val="3"/>
  </w:num>
  <w:num w:numId="7">
    <w:abstractNumId w:val="16"/>
  </w:num>
  <w:num w:numId="8">
    <w:abstractNumId w:val="15"/>
  </w:num>
  <w:num w:numId="9">
    <w:abstractNumId w:val="7"/>
  </w:num>
  <w:num w:numId="10">
    <w:abstractNumId w:val="20"/>
  </w:num>
  <w:num w:numId="11">
    <w:abstractNumId w:val="21"/>
  </w:num>
  <w:num w:numId="12">
    <w:abstractNumId w:val="1"/>
  </w:num>
  <w:num w:numId="13">
    <w:abstractNumId w:val="2"/>
  </w:num>
  <w:num w:numId="14">
    <w:abstractNumId w:val="18"/>
  </w:num>
  <w:num w:numId="15">
    <w:abstractNumId w:val="17"/>
  </w:num>
  <w:num w:numId="16">
    <w:abstractNumId w:val="8"/>
  </w:num>
  <w:num w:numId="17">
    <w:abstractNumId w:val="12"/>
  </w:num>
  <w:num w:numId="18">
    <w:abstractNumId w:val="9"/>
  </w:num>
  <w:num w:numId="19">
    <w:abstractNumId w:val="14"/>
  </w:num>
  <w:num w:numId="20">
    <w:abstractNumId w:val="5"/>
  </w:num>
  <w:num w:numId="21">
    <w:abstractNumId w:val="13"/>
  </w:num>
  <w:num w:numId="22">
    <w:abstractNumId w:val="1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3C4B"/>
    <w:rsid w:val="0004646B"/>
    <w:rsid w:val="000528E6"/>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4953"/>
    <w:rsid w:val="001B62A0"/>
    <w:rsid w:val="001C282F"/>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BD4"/>
    <w:rsid w:val="002A7F32"/>
    <w:rsid w:val="002B03CD"/>
    <w:rsid w:val="002B0531"/>
    <w:rsid w:val="002B06C1"/>
    <w:rsid w:val="002B20A1"/>
    <w:rsid w:val="002B226E"/>
    <w:rsid w:val="002B46D4"/>
    <w:rsid w:val="002B54CF"/>
    <w:rsid w:val="002B71E6"/>
    <w:rsid w:val="002C1876"/>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6600"/>
    <w:rsid w:val="003172EC"/>
    <w:rsid w:val="0032170B"/>
    <w:rsid w:val="00323325"/>
    <w:rsid w:val="003243B0"/>
    <w:rsid w:val="00325EC0"/>
    <w:rsid w:val="00327866"/>
    <w:rsid w:val="00327FDE"/>
    <w:rsid w:val="0033043F"/>
    <w:rsid w:val="003340EC"/>
    <w:rsid w:val="003350FF"/>
    <w:rsid w:val="0033684E"/>
    <w:rsid w:val="00340452"/>
    <w:rsid w:val="0034057C"/>
    <w:rsid w:val="0034303D"/>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80441"/>
    <w:rsid w:val="00382696"/>
    <w:rsid w:val="0038438A"/>
    <w:rsid w:val="003864D2"/>
    <w:rsid w:val="00390249"/>
    <w:rsid w:val="00390BF8"/>
    <w:rsid w:val="00391420"/>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382"/>
    <w:rsid w:val="00457F4E"/>
    <w:rsid w:val="0046048A"/>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2D88"/>
    <w:rsid w:val="004F3D21"/>
    <w:rsid w:val="004F772E"/>
    <w:rsid w:val="00500DFC"/>
    <w:rsid w:val="005070C3"/>
    <w:rsid w:val="0051276F"/>
    <w:rsid w:val="00512962"/>
    <w:rsid w:val="005141C6"/>
    <w:rsid w:val="005157AB"/>
    <w:rsid w:val="00515FF4"/>
    <w:rsid w:val="00517C3D"/>
    <w:rsid w:val="005220BE"/>
    <w:rsid w:val="00532353"/>
    <w:rsid w:val="0054194F"/>
    <w:rsid w:val="00542D5F"/>
    <w:rsid w:val="005435DE"/>
    <w:rsid w:val="00544C28"/>
    <w:rsid w:val="00546BA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E3A"/>
    <w:rsid w:val="00592D40"/>
    <w:rsid w:val="00593CB4"/>
    <w:rsid w:val="00593E68"/>
    <w:rsid w:val="00597052"/>
    <w:rsid w:val="0059777D"/>
    <w:rsid w:val="005A22F0"/>
    <w:rsid w:val="005A4D4B"/>
    <w:rsid w:val="005B0D7C"/>
    <w:rsid w:val="005B0E86"/>
    <w:rsid w:val="005B1CF3"/>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4587"/>
    <w:rsid w:val="00665D72"/>
    <w:rsid w:val="00666F25"/>
    <w:rsid w:val="00667C1C"/>
    <w:rsid w:val="00673DD4"/>
    <w:rsid w:val="00674AEB"/>
    <w:rsid w:val="0067553F"/>
    <w:rsid w:val="006816E3"/>
    <w:rsid w:val="0068238F"/>
    <w:rsid w:val="006828D8"/>
    <w:rsid w:val="0068455C"/>
    <w:rsid w:val="00684887"/>
    <w:rsid w:val="0069298B"/>
    <w:rsid w:val="006932A9"/>
    <w:rsid w:val="00693C8E"/>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60"/>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56AAA"/>
    <w:rsid w:val="00860A2D"/>
    <w:rsid w:val="00862771"/>
    <w:rsid w:val="00863EEC"/>
    <w:rsid w:val="0086682F"/>
    <w:rsid w:val="00871098"/>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9EF"/>
    <w:rsid w:val="00986A7D"/>
    <w:rsid w:val="00986DB7"/>
    <w:rsid w:val="009934CF"/>
    <w:rsid w:val="009959E5"/>
    <w:rsid w:val="009A0D75"/>
    <w:rsid w:val="009A1D65"/>
    <w:rsid w:val="009A347A"/>
    <w:rsid w:val="009A54CE"/>
    <w:rsid w:val="009A5F0F"/>
    <w:rsid w:val="009A620E"/>
    <w:rsid w:val="009A6619"/>
    <w:rsid w:val="009B06B1"/>
    <w:rsid w:val="009B6A6F"/>
    <w:rsid w:val="009C1AFE"/>
    <w:rsid w:val="009C2650"/>
    <w:rsid w:val="009C3DA6"/>
    <w:rsid w:val="009C3E33"/>
    <w:rsid w:val="009C5F24"/>
    <w:rsid w:val="009C648C"/>
    <w:rsid w:val="009C7314"/>
    <w:rsid w:val="009D048B"/>
    <w:rsid w:val="009D1F16"/>
    <w:rsid w:val="009D5AF9"/>
    <w:rsid w:val="009D69C6"/>
    <w:rsid w:val="009E0271"/>
    <w:rsid w:val="009E5419"/>
    <w:rsid w:val="009E5A6E"/>
    <w:rsid w:val="009E70E7"/>
    <w:rsid w:val="009F25A8"/>
    <w:rsid w:val="009F3A7A"/>
    <w:rsid w:val="009F4048"/>
    <w:rsid w:val="009F46DC"/>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BAD"/>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1EAD"/>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272"/>
    <w:rsid w:val="00AC1B61"/>
    <w:rsid w:val="00AC2C6E"/>
    <w:rsid w:val="00AC32D4"/>
    <w:rsid w:val="00AC5EE6"/>
    <w:rsid w:val="00AD0D24"/>
    <w:rsid w:val="00AD1923"/>
    <w:rsid w:val="00AD2055"/>
    <w:rsid w:val="00AD2611"/>
    <w:rsid w:val="00AD3AC5"/>
    <w:rsid w:val="00AD3D57"/>
    <w:rsid w:val="00AE434A"/>
    <w:rsid w:val="00AE47BF"/>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4C3F"/>
    <w:rsid w:val="00C14D65"/>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76F36"/>
    <w:rsid w:val="00C825A9"/>
    <w:rsid w:val="00C862BB"/>
    <w:rsid w:val="00C86FC6"/>
    <w:rsid w:val="00C901BB"/>
    <w:rsid w:val="00C90CD3"/>
    <w:rsid w:val="00C92552"/>
    <w:rsid w:val="00C92611"/>
    <w:rsid w:val="00C931D3"/>
    <w:rsid w:val="00C93F1B"/>
    <w:rsid w:val="00C94997"/>
    <w:rsid w:val="00C976D1"/>
    <w:rsid w:val="00CA308F"/>
    <w:rsid w:val="00CA71D4"/>
    <w:rsid w:val="00CB5D29"/>
    <w:rsid w:val="00CB675A"/>
    <w:rsid w:val="00CB782B"/>
    <w:rsid w:val="00CC0E77"/>
    <w:rsid w:val="00CC2092"/>
    <w:rsid w:val="00CC285C"/>
    <w:rsid w:val="00CC3722"/>
    <w:rsid w:val="00CC46CD"/>
    <w:rsid w:val="00CC5E76"/>
    <w:rsid w:val="00CD3A5D"/>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8011B"/>
    <w:rsid w:val="00D805C2"/>
    <w:rsid w:val="00D80F9D"/>
    <w:rsid w:val="00D81BAE"/>
    <w:rsid w:val="00D833A0"/>
    <w:rsid w:val="00D84B17"/>
    <w:rsid w:val="00D8507D"/>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7A33"/>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D6"/>
    <w:rsid w:val="00F9173A"/>
    <w:rsid w:val="00F91800"/>
    <w:rsid w:val="00F94E99"/>
    <w:rsid w:val="00F9650A"/>
    <w:rsid w:val="00F967C7"/>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1BC2-7D46-4AF2-82DB-0F2C4F36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2810</Words>
  <Characters>15456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Diaz Gonzalez Ivan</cp:lastModifiedBy>
  <cp:revision>3</cp:revision>
  <cp:lastPrinted>2018-12-11T19:44:00Z</cp:lastPrinted>
  <dcterms:created xsi:type="dcterms:W3CDTF">2019-02-18T05:49:00Z</dcterms:created>
  <dcterms:modified xsi:type="dcterms:W3CDTF">2019-03-14T05:40:00Z</dcterms:modified>
</cp:coreProperties>
</file>